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AD" w:rsidRPr="00CB68F4" w:rsidRDefault="008868AD" w:rsidP="004B587D">
      <w:pPr>
        <w:pStyle w:val="Sansinterligne"/>
        <w:spacing w:before="120" w:after="360"/>
        <w:jc w:val="center"/>
        <w:rPr>
          <w:rFonts w:ascii="Arial" w:hAnsi="Arial" w:cs="Arial"/>
          <w:b/>
          <w:iCs/>
          <w:sz w:val="28"/>
          <w:lang w:val="fr-BE"/>
        </w:rPr>
      </w:pPr>
      <w:r w:rsidRPr="00CB68F4">
        <w:rPr>
          <w:rFonts w:ascii="Arial" w:hAnsi="Arial" w:cs="Arial"/>
          <w:b/>
          <w:iCs/>
          <w:sz w:val="28"/>
          <w:lang w:val="fr-BE"/>
        </w:rPr>
        <w:t>CARACTÉRIS</w:t>
      </w:r>
      <w:r w:rsidR="00CB68F4" w:rsidRPr="00CB68F4">
        <w:rPr>
          <w:rFonts w:ascii="Arial" w:hAnsi="Arial" w:cs="Arial"/>
          <w:b/>
          <w:iCs/>
          <w:sz w:val="28"/>
          <w:lang w:val="fr-BE"/>
        </w:rPr>
        <w:t xml:space="preserve">ATION HYDROCLIMATIQUE ET SAVOIRS </w:t>
      </w:r>
      <w:r w:rsidR="005C0A35">
        <w:rPr>
          <w:rFonts w:ascii="Arial" w:hAnsi="Arial" w:cs="Arial"/>
          <w:b/>
          <w:iCs/>
          <w:sz w:val="28"/>
          <w:lang w:val="fr-BE"/>
        </w:rPr>
        <w:t>ENDOGÈNES</w:t>
      </w:r>
      <w:r w:rsidR="005C0A35" w:rsidRPr="00CB68F4">
        <w:rPr>
          <w:rFonts w:ascii="Arial" w:hAnsi="Arial" w:cs="Arial"/>
          <w:b/>
          <w:iCs/>
          <w:sz w:val="28"/>
          <w:lang w:val="fr-BE"/>
        </w:rPr>
        <w:t xml:space="preserve"> </w:t>
      </w:r>
      <w:r w:rsidR="00CB68F4" w:rsidRPr="00CB68F4">
        <w:rPr>
          <w:rFonts w:ascii="Arial" w:hAnsi="Arial" w:cs="Arial"/>
          <w:b/>
          <w:iCs/>
          <w:sz w:val="28"/>
          <w:lang w:val="fr-BE"/>
        </w:rPr>
        <w:t xml:space="preserve">EN PAYS TORRI DANS LA COMMUNE </w:t>
      </w:r>
      <w:proofErr w:type="gramStart"/>
      <w:r w:rsidR="00CB68F4" w:rsidRPr="00CB68F4">
        <w:rPr>
          <w:rFonts w:ascii="Arial" w:hAnsi="Arial" w:cs="Arial"/>
          <w:b/>
          <w:iCs/>
          <w:sz w:val="28"/>
          <w:lang w:val="fr-BE"/>
        </w:rPr>
        <w:t>DE AKPRO-MISSERETE</w:t>
      </w:r>
      <w:proofErr w:type="gramEnd"/>
      <w:r w:rsidR="00CB68F4" w:rsidRPr="00CB68F4">
        <w:rPr>
          <w:rFonts w:ascii="Arial" w:hAnsi="Arial" w:cs="Arial"/>
          <w:b/>
          <w:iCs/>
          <w:sz w:val="28"/>
          <w:lang w:val="fr-BE"/>
        </w:rPr>
        <w:t xml:space="preserve"> </w:t>
      </w:r>
    </w:p>
    <w:p w:rsidR="00CB68F4" w:rsidRPr="004B587D" w:rsidRDefault="00EA2FA8" w:rsidP="00EA2FA8">
      <w:pPr>
        <w:pStyle w:val="Sansinterligne"/>
        <w:spacing w:before="120" w:after="240"/>
        <w:jc w:val="both"/>
        <w:rPr>
          <w:rFonts w:ascii="Arial" w:hAnsi="Arial" w:cs="Arial"/>
          <w:b/>
          <w:iCs/>
          <w:lang w:val="fr-BE"/>
        </w:rPr>
      </w:pPr>
      <w:r w:rsidRPr="004B587D">
        <w:rPr>
          <w:rFonts w:ascii="Arial" w:hAnsi="Arial" w:cs="Arial"/>
          <w:b/>
          <w:iCs/>
          <w:lang w:val="fr-BE"/>
        </w:rPr>
        <w:t>VISSIN</w:t>
      </w:r>
      <w:r w:rsidR="00CB68F4" w:rsidRPr="004B587D">
        <w:rPr>
          <w:rFonts w:ascii="Arial" w:hAnsi="Arial" w:cs="Arial"/>
          <w:b/>
          <w:iCs/>
          <w:lang w:val="fr-BE"/>
        </w:rPr>
        <w:t xml:space="preserve"> Expédit Wilfrid</w:t>
      </w:r>
      <w:r w:rsidR="004B587D" w:rsidRPr="004B587D">
        <w:rPr>
          <w:rFonts w:ascii="Arial" w:hAnsi="Arial" w:cs="Arial"/>
          <w:b/>
          <w:iCs/>
          <w:vertAlign w:val="superscript"/>
          <w:lang w:val="fr-BE"/>
        </w:rPr>
        <w:t>1</w:t>
      </w:r>
    </w:p>
    <w:p w:rsidR="004B587D" w:rsidRPr="004B587D" w:rsidRDefault="004B587D" w:rsidP="004B587D">
      <w:pPr>
        <w:spacing w:line="240" w:lineRule="auto"/>
        <w:jc w:val="both"/>
        <w:rPr>
          <w:rFonts w:ascii="Arial" w:hAnsi="Arial" w:cs="Arial"/>
          <w:i/>
          <w:sz w:val="20"/>
          <w:szCs w:val="24"/>
          <w:lang w:val="fr-BE"/>
        </w:rPr>
      </w:pPr>
      <w:r w:rsidRPr="004B587D">
        <w:rPr>
          <w:rFonts w:ascii="Arial" w:hAnsi="Arial" w:cs="Arial"/>
          <w:i/>
          <w:sz w:val="20"/>
          <w:szCs w:val="24"/>
          <w:vertAlign w:val="superscript"/>
          <w:lang w:val="fr-BE"/>
        </w:rPr>
        <w:t>1</w:t>
      </w:r>
      <w:r w:rsidRPr="004B587D">
        <w:rPr>
          <w:rFonts w:ascii="Arial" w:hAnsi="Arial" w:cs="Arial"/>
          <w:i/>
          <w:sz w:val="20"/>
          <w:szCs w:val="24"/>
          <w:lang w:val="fr-BE"/>
        </w:rPr>
        <w:t>Département de Géographie et Aménagement du Territoire, Université d’Abomey-</w:t>
      </w:r>
      <w:proofErr w:type="spellStart"/>
      <w:r w:rsidRPr="004B587D">
        <w:rPr>
          <w:rFonts w:ascii="Arial" w:hAnsi="Arial" w:cs="Arial"/>
          <w:i/>
          <w:sz w:val="20"/>
          <w:szCs w:val="24"/>
          <w:lang w:val="fr-BE"/>
        </w:rPr>
        <w:t>Calavi</w:t>
      </w:r>
      <w:proofErr w:type="spellEnd"/>
      <w:r w:rsidRPr="004B587D">
        <w:rPr>
          <w:rFonts w:ascii="Arial" w:hAnsi="Arial" w:cs="Arial"/>
          <w:i/>
          <w:sz w:val="20"/>
          <w:szCs w:val="24"/>
          <w:lang w:val="fr-BE"/>
        </w:rPr>
        <w:t xml:space="preserve">, République du Bénin, </w:t>
      </w:r>
    </w:p>
    <w:p w:rsidR="00CB68F4" w:rsidRPr="004B587D" w:rsidRDefault="004B587D" w:rsidP="004B587D">
      <w:pPr>
        <w:spacing w:line="240" w:lineRule="auto"/>
        <w:jc w:val="both"/>
        <w:rPr>
          <w:rFonts w:ascii="Arial" w:hAnsi="Arial" w:cs="Arial"/>
          <w:i/>
          <w:sz w:val="20"/>
          <w:szCs w:val="24"/>
          <w:lang w:val="fr-BE"/>
        </w:rPr>
      </w:pPr>
      <w:r w:rsidRPr="004B587D">
        <w:rPr>
          <w:rFonts w:ascii="Arial" w:hAnsi="Arial" w:cs="Arial"/>
          <w:i/>
          <w:sz w:val="20"/>
          <w:szCs w:val="24"/>
          <w:vertAlign w:val="superscript"/>
          <w:lang w:val="fr-BE"/>
        </w:rPr>
        <w:t>1</w:t>
      </w:r>
      <w:r w:rsidRPr="004B587D">
        <w:rPr>
          <w:rFonts w:ascii="Arial" w:hAnsi="Arial" w:cs="Arial"/>
          <w:i/>
          <w:sz w:val="20"/>
          <w:szCs w:val="24"/>
          <w:lang w:val="fr-BE"/>
        </w:rPr>
        <w:t xml:space="preserve">Laboratoire Pierre </w:t>
      </w:r>
      <w:proofErr w:type="spellStart"/>
      <w:r w:rsidRPr="004B587D">
        <w:rPr>
          <w:rFonts w:ascii="Arial" w:hAnsi="Arial" w:cs="Arial"/>
          <w:i/>
          <w:sz w:val="20"/>
          <w:szCs w:val="24"/>
          <w:lang w:val="fr-BE"/>
        </w:rPr>
        <w:t>Pagney</w:t>
      </w:r>
      <w:proofErr w:type="spellEnd"/>
      <w:r w:rsidRPr="004B587D">
        <w:rPr>
          <w:rFonts w:ascii="Arial" w:hAnsi="Arial" w:cs="Arial"/>
          <w:i/>
          <w:sz w:val="20"/>
          <w:szCs w:val="24"/>
          <w:lang w:val="fr-BE"/>
        </w:rPr>
        <w:t xml:space="preserve"> : Climat, Eau, Ecosystèmes et Développement (LACEEDE), Université d’Abomey </w:t>
      </w:r>
      <w:proofErr w:type="spellStart"/>
      <w:r w:rsidRPr="004B587D">
        <w:rPr>
          <w:rFonts w:ascii="Arial" w:hAnsi="Arial" w:cs="Arial"/>
          <w:i/>
          <w:sz w:val="20"/>
          <w:szCs w:val="24"/>
          <w:lang w:val="fr-BE"/>
        </w:rPr>
        <w:t>Calavi</w:t>
      </w:r>
      <w:proofErr w:type="spellEnd"/>
      <w:r w:rsidRPr="004B587D">
        <w:rPr>
          <w:rFonts w:ascii="Arial" w:hAnsi="Arial" w:cs="Arial"/>
          <w:i/>
          <w:sz w:val="20"/>
          <w:szCs w:val="24"/>
          <w:lang w:val="fr-BE"/>
        </w:rPr>
        <w:t xml:space="preserve">, B.P 526, Cotonou République du Bénin, </w:t>
      </w:r>
      <w:hyperlink r:id="rId5" w:history="1">
        <w:r w:rsidRPr="004B587D">
          <w:rPr>
            <w:rStyle w:val="Lienhypertexte"/>
            <w:rFonts w:ascii="Arial" w:hAnsi="Arial" w:cs="Arial"/>
            <w:i/>
            <w:sz w:val="20"/>
            <w:szCs w:val="24"/>
            <w:lang w:val="fr-BE"/>
          </w:rPr>
          <w:t>exlaure@gmail.com</w:t>
        </w:r>
      </w:hyperlink>
      <w:r w:rsidRPr="004B587D">
        <w:rPr>
          <w:rFonts w:ascii="Arial" w:hAnsi="Arial" w:cs="Arial"/>
          <w:i/>
          <w:sz w:val="20"/>
          <w:szCs w:val="24"/>
          <w:lang w:val="fr-BE"/>
        </w:rPr>
        <w:t xml:space="preserve"> </w:t>
      </w:r>
    </w:p>
    <w:p w:rsidR="004B587D" w:rsidRDefault="004B587D" w:rsidP="00510F4B">
      <w:pPr>
        <w:pStyle w:val="Sansinterligne"/>
        <w:spacing w:after="120" w:line="360" w:lineRule="auto"/>
        <w:jc w:val="both"/>
        <w:rPr>
          <w:rFonts w:ascii="Arial" w:hAnsi="Arial" w:cs="Arial"/>
          <w:sz w:val="24"/>
          <w:szCs w:val="24"/>
          <w:lang w:val="fr-BE"/>
        </w:rPr>
      </w:pPr>
    </w:p>
    <w:p w:rsidR="004B587D" w:rsidRPr="004B587D" w:rsidRDefault="004B587D" w:rsidP="00510F4B">
      <w:pPr>
        <w:pStyle w:val="Sansinterligne"/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fr-BE"/>
        </w:rPr>
      </w:pPr>
      <w:r w:rsidRPr="004B587D">
        <w:rPr>
          <w:rFonts w:ascii="Arial" w:hAnsi="Arial" w:cs="Arial"/>
          <w:b/>
          <w:sz w:val="24"/>
          <w:szCs w:val="24"/>
          <w:lang w:val="fr-BE"/>
        </w:rPr>
        <w:t xml:space="preserve">Résumé </w:t>
      </w:r>
    </w:p>
    <w:p w:rsidR="00897490" w:rsidRPr="005938CC" w:rsidRDefault="00897490" w:rsidP="00510F4B">
      <w:pPr>
        <w:pStyle w:val="Sansinterligne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938CC">
        <w:rPr>
          <w:rFonts w:ascii="Arial" w:hAnsi="Arial" w:cs="Arial"/>
          <w:sz w:val="24"/>
          <w:szCs w:val="24"/>
          <w:lang w:val="fr-BE"/>
        </w:rPr>
        <w:t>La Variabilité climatiqu</w:t>
      </w:r>
      <w:r w:rsidR="0000336D">
        <w:rPr>
          <w:rFonts w:ascii="Arial" w:hAnsi="Arial" w:cs="Arial"/>
          <w:sz w:val="24"/>
          <w:szCs w:val="24"/>
          <w:lang w:val="fr-BE"/>
        </w:rPr>
        <w:t>e ainsi que les catastrophes</w:t>
      </w:r>
      <w:r w:rsidRPr="005938CC">
        <w:rPr>
          <w:rFonts w:ascii="Arial" w:hAnsi="Arial" w:cs="Arial"/>
          <w:sz w:val="24"/>
          <w:szCs w:val="24"/>
          <w:lang w:val="fr-BE"/>
        </w:rPr>
        <w:t xml:space="preserve"> découl</w:t>
      </w:r>
      <w:r w:rsidR="0000336D">
        <w:rPr>
          <w:rFonts w:ascii="Arial" w:hAnsi="Arial" w:cs="Arial"/>
          <w:sz w:val="24"/>
          <w:szCs w:val="24"/>
          <w:lang w:val="fr-BE"/>
        </w:rPr>
        <w:t>a</w:t>
      </w:r>
      <w:r w:rsidRPr="005938CC">
        <w:rPr>
          <w:rFonts w:ascii="Arial" w:hAnsi="Arial" w:cs="Arial"/>
          <w:sz w:val="24"/>
          <w:szCs w:val="24"/>
          <w:lang w:val="fr-BE"/>
        </w:rPr>
        <w:t xml:space="preserve">nt de ses aléas sont  </w:t>
      </w:r>
      <w:r w:rsidR="0000336D">
        <w:rPr>
          <w:rFonts w:ascii="Arial" w:hAnsi="Arial" w:cs="Arial"/>
          <w:sz w:val="24"/>
          <w:szCs w:val="24"/>
          <w:lang w:val="fr-BE"/>
        </w:rPr>
        <w:t>sujettes</w:t>
      </w:r>
      <w:r w:rsidRPr="005938CC">
        <w:rPr>
          <w:rFonts w:ascii="Arial" w:hAnsi="Arial" w:cs="Arial"/>
          <w:sz w:val="24"/>
          <w:szCs w:val="24"/>
          <w:lang w:val="fr-BE"/>
        </w:rPr>
        <w:t xml:space="preserve"> à des interprétations qui sont étroitement liées aux pratiques agricoles et rituelles endogènes de chaque ethnie. L’étude vise à étudier les perceptions endogènes des phénomènes hydroclimatiques des populations </w:t>
      </w:r>
      <w:proofErr w:type="spellStart"/>
      <w:r w:rsidRPr="005938CC">
        <w:rPr>
          <w:rFonts w:ascii="Arial" w:hAnsi="Arial" w:cs="Arial"/>
          <w:sz w:val="24"/>
          <w:szCs w:val="24"/>
          <w:lang w:val="fr-BE"/>
        </w:rPr>
        <w:t>Torri</w:t>
      </w:r>
      <w:proofErr w:type="spellEnd"/>
      <w:r w:rsidRPr="005938CC">
        <w:rPr>
          <w:rFonts w:ascii="Arial" w:hAnsi="Arial" w:cs="Arial"/>
          <w:sz w:val="24"/>
          <w:szCs w:val="24"/>
          <w:lang w:val="fr-BE"/>
        </w:rPr>
        <w:t xml:space="preserve"> de la commune </w:t>
      </w:r>
      <w:proofErr w:type="gramStart"/>
      <w:r w:rsidRPr="005938CC">
        <w:rPr>
          <w:rFonts w:ascii="Arial" w:hAnsi="Arial" w:cs="Arial"/>
          <w:sz w:val="24"/>
          <w:szCs w:val="24"/>
          <w:lang w:val="fr-BE"/>
        </w:rPr>
        <w:t xml:space="preserve">de </w:t>
      </w:r>
      <w:proofErr w:type="spellStart"/>
      <w:r w:rsidRPr="005938CC">
        <w:rPr>
          <w:rFonts w:ascii="Arial" w:hAnsi="Arial" w:cs="Arial"/>
          <w:sz w:val="24"/>
          <w:szCs w:val="24"/>
          <w:lang w:val="fr-BE"/>
        </w:rPr>
        <w:t>Akpro</w:t>
      </w:r>
      <w:proofErr w:type="spellEnd"/>
      <w:r w:rsidRPr="005938CC">
        <w:rPr>
          <w:rFonts w:ascii="Arial" w:hAnsi="Arial" w:cs="Arial"/>
          <w:sz w:val="24"/>
          <w:szCs w:val="24"/>
          <w:lang w:val="fr-BE"/>
        </w:rPr>
        <w:t>-</w:t>
      </w:r>
      <w:proofErr w:type="spellStart"/>
      <w:r w:rsidRPr="005938CC">
        <w:rPr>
          <w:rFonts w:ascii="Arial" w:hAnsi="Arial" w:cs="Arial"/>
          <w:sz w:val="24"/>
          <w:szCs w:val="24"/>
          <w:lang w:val="fr-BE"/>
        </w:rPr>
        <w:t>Missérété</w:t>
      </w:r>
      <w:proofErr w:type="spellEnd"/>
      <w:proofErr w:type="gramEnd"/>
      <w:r w:rsidRPr="005938CC">
        <w:rPr>
          <w:rFonts w:ascii="Arial" w:hAnsi="Arial" w:cs="Arial"/>
          <w:sz w:val="24"/>
          <w:szCs w:val="24"/>
        </w:rPr>
        <w:t xml:space="preserve">. La démarche méthodologique s’est focalisée </w:t>
      </w:r>
      <w:r w:rsidR="0000336D">
        <w:rPr>
          <w:rFonts w:ascii="Arial" w:hAnsi="Arial" w:cs="Arial"/>
          <w:sz w:val="24"/>
          <w:szCs w:val="24"/>
        </w:rPr>
        <w:t>sur</w:t>
      </w:r>
      <w:r w:rsidRPr="005938CC">
        <w:rPr>
          <w:rFonts w:ascii="Arial" w:hAnsi="Arial" w:cs="Arial"/>
          <w:sz w:val="24"/>
          <w:szCs w:val="24"/>
        </w:rPr>
        <w:t xml:space="preserve"> la collecte et au traitement  des données climatologiques </w:t>
      </w:r>
      <w:r w:rsidR="000F4CC2" w:rsidRPr="005938CC">
        <w:rPr>
          <w:rFonts w:ascii="Arial" w:hAnsi="Arial" w:cs="Arial"/>
          <w:sz w:val="24"/>
          <w:szCs w:val="24"/>
        </w:rPr>
        <w:t>(pluie et température), </w:t>
      </w:r>
      <w:r w:rsidR="005938CC" w:rsidRPr="005938CC">
        <w:rPr>
          <w:rFonts w:ascii="Arial" w:hAnsi="Arial" w:cs="Arial"/>
          <w:sz w:val="24"/>
          <w:szCs w:val="24"/>
        </w:rPr>
        <w:t>su</w:t>
      </w:r>
      <w:r w:rsidRPr="005938CC">
        <w:rPr>
          <w:rFonts w:ascii="Arial" w:hAnsi="Arial" w:cs="Arial"/>
          <w:sz w:val="24"/>
          <w:szCs w:val="24"/>
        </w:rPr>
        <w:t xml:space="preserve">r la période 1965 à 2010, </w:t>
      </w:r>
      <w:r w:rsidR="0000336D">
        <w:rPr>
          <w:rFonts w:ascii="Arial" w:hAnsi="Arial" w:cs="Arial"/>
          <w:sz w:val="24"/>
          <w:szCs w:val="24"/>
        </w:rPr>
        <w:t xml:space="preserve">la </w:t>
      </w:r>
      <w:r w:rsidRPr="005938CC">
        <w:rPr>
          <w:rFonts w:ascii="Arial" w:hAnsi="Arial" w:cs="Arial"/>
          <w:sz w:val="24"/>
          <w:szCs w:val="24"/>
        </w:rPr>
        <w:t>c</w:t>
      </w:r>
      <w:r w:rsidR="0000336D">
        <w:rPr>
          <w:rFonts w:ascii="Arial" w:hAnsi="Arial" w:cs="Arial"/>
          <w:sz w:val="24"/>
          <w:szCs w:val="24"/>
        </w:rPr>
        <w:t>omparaison des résultats de recherche</w:t>
      </w:r>
      <w:r w:rsidR="000F4CC2" w:rsidRPr="005938CC">
        <w:rPr>
          <w:rFonts w:ascii="Arial" w:hAnsi="Arial" w:cs="Arial"/>
          <w:sz w:val="24"/>
          <w:szCs w:val="24"/>
        </w:rPr>
        <w:t xml:space="preserve"> </w:t>
      </w:r>
      <w:r w:rsidRPr="005938CC">
        <w:rPr>
          <w:rFonts w:ascii="Arial" w:hAnsi="Arial" w:cs="Arial"/>
          <w:sz w:val="24"/>
          <w:szCs w:val="24"/>
        </w:rPr>
        <w:t xml:space="preserve">avec </w:t>
      </w:r>
      <w:r w:rsidR="008868AD" w:rsidRPr="005938CC">
        <w:rPr>
          <w:rFonts w:ascii="Arial" w:hAnsi="Arial" w:cs="Arial"/>
          <w:sz w:val="24"/>
          <w:szCs w:val="24"/>
        </w:rPr>
        <w:t>les savoirs endogènes relatifs aux phénomènes hydroclimatiques dans le milieu d’étude.</w:t>
      </w:r>
    </w:p>
    <w:p w:rsidR="00753230" w:rsidRDefault="00510F4B" w:rsidP="00510F4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>Il ressort de l</w:t>
      </w:r>
      <w:r w:rsidR="005938CC" w:rsidRPr="005938CC">
        <w:rPr>
          <w:rFonts w:ascii="Arial" w:hAnsi="Arial" w:cs="Arial"/>
          <w:color w:val="000000"/>
          <w:sz w:val="24"/>
          <w:szCs w:val="24"/>
          <w:lang w:eastAsia="fr-FR"/>
        </w:rPr>
        <w:t>’analyse des résultats que le secteur d’étude a connu une rupture</w:t>
      </w:r>
      <w:r w:rsidR="0000336D">
        <w:rPr>
          <w:rFonts w:ascii="Arial" w:hAnsi="Arial" w:cs="Arial"/>
          <w:color w:val="000000"/>
          <w:sz w:val="24"/>
          <w:szCs w:val="24"/>
          <w:lang w:eastAsia="fr-FR"/>
        </w:rPr>
        <w:t xml:space="preserve"> de stationnarité</w:t>
      </w:r>
      <w:r w:rsidR="005938CC" w:rsidRPr="005938CC">
        <w:rPr>
          <w:rFonts w:ascii="Arial" w:hAnsi="Arial" w:cs="Arial"/>
          <w:color w:val="000000"/>
          <w:sz w:val="24"/>
          <w:szCs w:val="24"/>
          <w:lang w:eastAsia="fr-FR"/>
        </w:rPr>
        <w:t xml:space="preserve"> dans les séries pluviométriques depuis 1970 et marquée par une réduction de la durée et de l’intensité de la saison des pluies. Les populations </w:t>
      </w:r>
      <w:proofErr w:type="spellStart"/>
      <w:r w:rsidR="005938CC" w:rsidRPr="005938CC">
        <w:rPr>
          <w:rFonts w:ascii="Arial" w:hAnsi="Arial" w:cs="Arial"/>
          <w:color w:val="000000"/>
          <w:sz w:val="24"/>
          <w:szCs w:val="24"/>
          <w:lang w:eastAsia="fr-FR"/>
        </w:rPr>
        <w:t>Torri</w:t>
      </w:r>
      <w:proofErr w:type="spellEnd"/>
      <w:r w:rsidR="005938CC" w:rsidRPr="005938CC">
        <w:rPr>
          <w:rFonts w:ascii="Arial" w:hAnsi="Arial" w:cs="Arial"/>
          <w:color w:val="000000"/>
          <w:sz w:val="24"/>
          <w:szCs w:val="24"/>
          <w:lang w:eastAsia="fr-FR"/>
        </w:rPr>
        <w:t xml:space="preserve"> de la commune </w:t>
      </w:r>
      <w:proofErr w:type="gramStart"/>
      <w:r w:rsidR="005938CC" w:rsidRPr="005938CC">
        <w:rPr>
          <w:rFonts w:ascii="Arial" w:hAnsi="Arial" w:cs="Arial"/>
          <w:color w:val="000000"/>
          <w:sz w:val="24"/>
          <w:szCs w:val="24"/>
          <w:lang w:eastAsia="fr-FR"/>
        </w:rPr>
        <w:t xml:space="preserve">de </w:t>
      </w:r>
      <w:proofErr w:type="spellStart"/>
      <w:r w:rsidR="005938CC" w:rsidRPr="005938CC">
        <w:rPr>
          <w:rFonts w:ascii="Arial" w:hAnsi="Arial" w:cs="Arial"/>
          <w:color w:val="000000"/>
          <w:sz w:val="24"/>
          <w:szCs w:val="24"/>
          <w:lang w:eastAsia="fr-FR"/>
        </w:rPr>
        <w:t>Akpro</w:t>
      </w:r>
      <w:proofErr w:type="spellEnd"/>
      <w:r w:rsidR="005938CC" w:rsidRPr="005938CC">
        <w:rPr>
          <w:rFonts w:ascii="Arial" w:hAnsi="Arial" w:cs="Arial"/>
          <w:color w:val="000000"/>
          <w:sz w:val="24"/>
          <w:szCs w:val="24"/>
          <w:lang w:eastAsia="fr-FR"/>
        </w:rPr>
        <w:t>-</w:t>
      </w:r>
      <w:proofErr w:type="spellStart"/>
      <w:r w:rsidR="005938CC" w:rsidRPr="005938CC">
        <w:rPr>
          <w:rFonts w:ascii="Arial" w:hAnsi="Arial" w:cs="Arial"/>
          <w:color w:val="000000"/>
          <w:sz w:val="24"/>
          <w:szCs w:val="24"/>
          <w:lang w:eastAsia="fr-FR"/>
        </w:rPr>
        <w:t>Missérété</w:t>
      </w:r>
      <w:proofErr w:type="spellEnd"/>
      <w:proofErr w:type="gramEnd"/>
      <w:r w:rsidR="005938CC" w:rsidRPr="005938CC">
        <w:rPr>
          <w:rFonts w:ascii="Arial" w:hAnsi="Arial" w:cs="Arial"/>
          <w:color w:val="000000"/>
          <w:sz w:val="24"/>
          <w:szCs w:val="24"/>
          <w:lang w:eastAsia="fr-FR"/>
        </w:rPr>
        <w:t xml:space="preserve">,  détiennent </w:t>
      </w:r>
      <w:r w:rsidR="00753230" w:rsidRPr="005938CC">
        <w:rPr>
          <w:rFonts w:ascii="Arial" w:hAnsi="Arial" w:cs="Arial"/>
          <w:sz w:val="24"/>
          <w:szCs w:val="24"/>
        </w:rPr>
        <w:t xml:space="preserve"> des savoirs endogènes leur permettant de reconnaître et de prédire la succession des phénomènes climatiques. </w:t>
      </w:r>
      <w:r w:rsidRPr="005938CC">
        <w:rPr>
          <w:rFonts w:ascii="Arial" w:hAnsi="Arial" w:cs="Arial"/>
          <w:sz w:val="24"/>
          <w:szCs w:val="24"/>
        </w:rPr>
        <w:t>Ainsi</w:t>
      </w:r>
      <w:r>
        <w:rPr>
          <w:rFonts w:ascii="Arial" w:hAnsi="Arial" w:cs="Arial"/>
          <w:sz w:val="24"/>
          <w:szCs w:val="24"/>
        </w:rPr>
        <w:t xml:space="preserve">, </w:t>
      </w:r>
      <w:r w:rsidR="00753230" w:rsidRPr="005938CC">
        <w:rPr>
          <w:rFonts w:ascii="Arial" w:hAnsi="Arial" w:cs="Arial"/>
          <w:sz w:val="24"/>
          <w:szCs w:val="24"/>
        </w:rPr>
        <w:t xml:space="preserve">la grande saison des pluies </w:t>
      </w:r>
      <w:r w:rsidR="005938CC" w:rsidRPr="005938CC">
        <w:rPr>
          <w:rFonts w:ascii="Arial" w:hAnsi="Arial" w:cs="Arial"/>
          <w:sz w:val="24"/>
          <w:szCs w:val="24"/>
        </w:rPr>
        <w:t xml:space="preserve">est désignée par </w:t>
      </w:r>
      <w:proofErr w:type="spellStart"/>
      <w:r w:rsidR="00753230" w:rsidRPr="005938CC">
        <w:rPr>
          <w:rFonts w:ascii="Arial" w:hAnsi="Arial" w:cs="Arial"/>
          <w:i/>
          <w:sz w:val="24"/>
          <w:szCs w:val="24"/>
        </w:rPr>
        <w:t>Amandjikùn</w:t>
      </w:r>
      <w:proofErr w:type="spellEnd"/>
      <w:r w:rsidR="00753230" w:rsidRPr="005938CC">
        <w:rPr>
          <w:rFonts w:ascii="Arial" w:hAnsi="Arial" w:cs="Arial"/>
          <w:sz w:val="24"/>
          <w:szCs w:val="24"/>
        </w:rPr>
        <w:t xml:space="preserve"> ; la petite saison des pluies </w:t>
      </w:r>
      <w:proofErr w:type="spellStart"/>
      <w:r w:rsidR="00753230" w:rsidRPr="005938CC">
        <w:rPr>
          <w:rFonts w:ascii="Arial" w:hAnsi="Arial" w:cs="Arial"/>
          <w:i/>
          <w:sz w:val="24"/>
          <w:szCs w:val="24"/>
        </w:rPr>
        <w:t>ozodjikùn</w:t>
      </w:r>
      <w:proofErr w:type="spellEnd"/>
      <w:r w:rsidR="00753230" w:rsidRPr="005938CC">
        <w:rPr>
          <w:rFonts w:ascii="Arial" w:hAnsi="Arial" w:cs="Arial"/>
          <w:sz w:val="24"/>
          <w:szCs w:val="24"/>
        </w:rPr>
        <w:t xml:space="preserve"> ; la grande saison sèche </w:t>
      </w:r>
      <w:proofErr w:type="spellStart"/>
      <w:r w:rsidR="00753230" w:rsidRPr="005938CC">
        <w:rPr>
          <w:rFonts w:ascii="Arial" w:hAnsi="Arial" w:cs="Arial"/>
          <w:i/>
          <w:sz w:val="24"/>
          <w:szCs w:val="24"/>
        </w:rPr>
        <w:t>akudaho</w:t>
      </w:r>
      <w:proofErr w:type="spellEnd"/>
      <w:r w:rsidR="00753230" w:rsidRPr="005938CC">
        <w:rPr>
          <w:rFonts w:ascii="Arial" w:hAnsi="Arial" w:cs="Arial"/>
          <w:sz w:val="24"/>
          <w:szCs w:val="24"/>
        </w:rPr>
        <w:t xml:space="preserve"> et la petite saison sèche </w:t>
      </w:r>
      <w:proofErr w:type="spellStart"/>
      <w:r w:rsidR="00753230" w:rsidRPr="005938CC">
        <w:rPr>
          <w:rFonts w:ascii="Arial" w:hAnsi="Arial" w:cs="Arial"/>
          <w:i/>
          <w:sz w:val="24"/>
          <w:szCs w:val="24"/>
        </w:rPr>
        <w:t>akukpèvi</w:t>
      </w:r>
      <w:proofErr w:type="spellEnd"/>
      <w:r w:rsidR="00753230" w:rsidRPr="005938CC">
        <w:rPr>
          <w:rFonts w:ascii="Arial" w:hAnsi="Arial" w:cs="Arial"/>
          <w:sz w:val="24"/>
          <w:szCs w:val="24"/>
        </w:rPr>
        <w:t>. La sécheresse quant à elle</w:t>
      </w:r>
      <w:r w:rsidR="00CC1772">
        <w:rPr>
          <w:rFonts w:ascii="Arial" w:hAnsi="Arial" w:cs="Arial"/>
          <w:sz w:val="24"/>
          <w:szCs w:val="24"/>
        </w:rPr>
        <w:t>,</w:t>
      </w:r>
      <w:r w:rsidR="00753230" w:rsidRPr="005938CC">
        <w:rPr>
          <w:rFonts w:ascii="Arial" w:hAnsi="Arial" w:cs="Arial"/>
          <w:sz w:val="24"/>
          <w:szCs w:val="24"/>
        </w:rPr>
        <w:t xml:space="preserve"> est reconnue par la persistance de la récession pluviométrique nommée </w:t>
      </w:r>
      <w:proofErr w:type="spellStart"/>
      <w:r w:rsidR="00753230" w:rsidRPr="005938CC">
        <w:rPr>
          <w:rFonts w:ascii="Arial" w:hAnsi="Arial" w:cs="Arial"/>
          <w:i/>
          <w:sz w:val="24"/>
          <w:szCs w:val="24"/>
        </w:rPr>
        <w:t>akugaa</w:t>
      </w:r>
      <w:proofErr w:type="spellEnd"/>
      <w:r w:rsidR="00753230" w:rsidRPr="005938CC">
        <w:rPr>
          <w:rFonts w:ascii="Arial" w:hAnsi="Arial" w:cs="Arial"/>
          <w:sz w:val="24"/>
          <w:szCs w:val="24"/>
        </w:rPr>
        <w:t xml:space="preserve"> contrairement à </w:t>
      </w:r>
      <w:r>
        <w:rPr>
          <w:rFonts w:ascii="Arial" w:hAnsi="Arial" w:cs="Arial"/>
          <w:sz w:val="24"/>
          <w:szCs w:val="24"/>
        </w:rPr>
        <w:t xml:space="preserve">la période des </w:t>
      </w:r>
      <w:r w:rsidR="005938CC" w:rsidRPr="005938CC">
        <w:rPr>
          <w:rFonts w:ascii="Arial" w:hAnsi="Arial" w:cs="Arial"/>
          <w:sz w:val="24"/>
          <w:szCs w:val="24"/>
        </w:rPr>
        <w:t>hautes eaux</w:t>
      </w:r>
      <w:r w:rsidR="00753230" w:rsidRPr="005938CC">
        <w:rPr>
          <w:rFonts w:ascii="Arial" w:hAnsi="Arial" w:cs="Arial"/>
          <w:sz w:val="24"/>
          <w:szCs w:val="24"/>
        </w:rPr>
        <w:t xml:space="preserve"> appelée</w:t>
      </w:r>
      <w:r w:rsidR="005938CC" w:rsidRPr="005938CC">
        <w:rPr>
          <w:rFonts w:ascii="Arial" w:hAnsi="Arial" w:cs="Arial"/>
          <w:sz w:val="24"/>
          <w:szCs w:val="24"/>
        </w:rPr>
        <w:t>s</w:t>
      </w:r>
      <w:r w:rsidR="00753230" w:rsidRPr="005938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3230" w:rsidRPr="005938CC">
        <w:rPr>
          <w:rFonts w:ascii="Arial" w:hAnsi="Arial" w:cs="Arial"/>
          <w:i/>
          <w:sz w:val="24"/>
          <w:szCs w:val="24"/>
        </w:rPr>
        <w:t>tọgigọ</w:t>
      </w:r>
      <w:proofErr w:type="spellEnd"/>
      <w:r w:rsidR="00753230" w:rsidRPr="005938CC">
        <w:rPr>
          <w:rFonts w:ascii="Arial" w:hAnsi="Arial" w:cs="Arial"/>
          <w:sz w:val="24"/>
          <w:szCs w:val="24"/>
        </w:rPr>
        <w:t xml:space="preserve">. </w:t>
      </w:r>
      <w:r w:rsidR="005938CC" w:rsidRPr="005938CC">
        <w:rPr>
          <w:rFonts w:ascii="Arial" w:hAnsi="Arial" w:cs="Arial"/>
          <w:sz w:val="24"/>
          <w:szCs w:val="24"/>
        </w:rPr>
        <w:t xml:space="preserve">Face à ces </w:t>
      </w:r>
      <w:r w:rsidR="00753230" w:rsidRPr="005938CC">
        <w:rPr>
          <w:rFonts w:ascii="Arial" w:hAnsi="Arial" w:cs="Arial"/>
          <w:sz w:val="24"/>
          <w:szCs w:val="24"/>
        </w:rPr>
        <w:t xml:space="preserve">phénomènes climatiques, les populations </w:t>
      </w:r>
      <w:proofErr w:type="spellStart"/>
      <w:r w:rsidR="00753230" w:rsidRPr="005938CC">
        <w:rPr>
          <w:rFonts w:ascii="Arial" w:hAnsi="Arial" w:cs="Arial"/>
          <w:sz w:val="24"/>
          <w:szCs w:val="24"/>
        </w:rPr>
        <w:t>Torri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753230" w:rsidRPr="005938CC">
        <w:rPr>
          <w:rFonts w:ascii="Arial" w:hAnsi="Arial" w:cs="Arial"/>
          <w:sz w:val="24"/>
          <w:szCs w:val="24"/>
        </w:rPr>
        <w:t xml:space="preserve"> développent plusieurs stratégies d’adaptation </w:t>
      </w:r>
      <w:r>
        <w:rPr>
          <w:rFonts w:ascii="Arial" w:hAnsi="Arial" w:cs="Arial"/>
          <w:sz w:val="24"/>
          <w:szCs w:val="24"/>
        </w:rPr>
        <w:t xml:space="preserve">dont les </w:t>
      </w:r>
      <w:r w:rsidR="00753230" w:rsidRPr="005938CC">
        <w:rPr>
          <w:rFonts w:ascii="Arial" w:hAnsi="Arial" w:cs="Arial"/>
          <w:sz w:val="24"/>
          <w:szCs w:val="24"/>
        </w:rPr>
        <w:t xml:space="preserve">récoltes précoces ou les semis anticipés ou décalés suivant le rythme pluviométrique. Aussi, font-elles des cérémonies et offrandes aux divinités pour conjurer les mauvais sorts </w:t>
      </w:r>
      <w:r>
        <w:rPr>
          <w:rFonts w:ascii="Arial" w:hAnsi="Arial" w:cs="Arial"/>
          <w:sz w:val="24"/>
          <w:szCs w:val="24"/>
        </w:rPr>
        <w:t xml:space="preserve">aux fins de réguler les activités agricoles au regard </w:t>
      </w:r>
      <w:r w:rsidR="00753230" w:rsidRPr="005938CC">
        <w:rPr>
          <w:rFonts w:ascii="Arial" w:hAnsi="Arial" w:cs="Arial"/>
          <w:sz w:val="24"/>
          <w:szCs w:val="24"/>
        </w:rPr>
        <w:t>des extrêmes hydroclimatiques.</w:t>
      </w:r>
    </w:p>
    <w:p w:rsidR="00E830B5" w:rsidRPr="00060449" w:rsidRDefault="00510F4B" w:rsidP="004B587D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4B587D">
        <w:rPr>
          <w:rFonts w:ascii="Arial" w:hAnsi="Arial" w:cs="Arial"/>
          <w:b/>
          <w:sz w:val="24"/>
          <w:szCs w:val="24"/>
          <w:u w:val="single"/>
        </w:rPr>
        <w:t>Mots clés</w:t>
      </w:r>
      <w:r>
        <w:rPr>
          <w:rFonts w:ascii="Arial" w:hAnsi="Arial" w:cs="Arial"/>
          <w:sz w:val="24"/>
          <w:szCs w:val="24"/>
        </w:rPr>
        <w:t xml:space="preserve"> : </w:t>
      </w:r>
      <w:r w:rsidR="004A21E3">
        <w:rPr>
          <w:rFonts w:ascii="Arial" w:hAnsi="Arial" w:cs="Arial"/>
          <w:sz w:val="24"/>
          <w:szCs w:val="24"/>
        </w:rPr>
        <w:t xml:space="preserve">Caractérisation, </w:t>
      </w:r>
      <w:r>
        <w:rPr>
          <w:rFonts w:ascii="Arial" w:hAnsi="Arial" w:cs="Arial"/>
          <w:sz w:val="24"/>
          <w:szCs w:val="24"/>
        </w:rPr>
        <w:t xml:space="preserve">Savoirs endogènes, </w:t>
      </w:r>
      <w:proofErr w:type="spellStart"/>
      <w:r w:rsidR="004A21E3">
        <w:rPr>
          <w:rFonts w:ascii="Arial" w:hAnsi="Arial" w:cs="Arial"/>
          <w:sz w:val="24"/>
          <w:szCs w:val="24"/>
        </w:rPr>
        <w:t>Torri</w:t>
      </w:r>
      <w:proofErr w:type="spellEnd"/>
      <w:r w:rsidR="004A21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21E3">
        <w:rPr>
          <w:rFonts w:ascii="Arial" w:hAnsi="Arial" w:cs="Arial"/>
          <w:sz w:val="24"/>
          <w:szCs w:val="24"/>
        </w:rPr>
        <w:t>Akpro</w:t>
      </w:r>
      <w:proofErr w:type="spellEnd"/>
      <w:r w:rsidR="004A21E3">
        <w:rPr>
          <w:rFonts w:ascii="Arial" w:hAnsi="Arial" w:cs="Arial"/>
          <w:sz w:val="24"/>
          <w:szCs w:val="24"/>
        </w:rPr>
        <w:t>-</w:t>
      </w:r>
      <w:proofErr w:type="spellStart"/>
      <w:r w:rsidR="004A21E3">
        <w:rPr>
          <w:rFonts w:ascii="Arial" w:hAnsi="Arial" w:cs="Arial"/>
          <w:sz w:val="24"/>
          <w:szCs w:val="24"/>
        </w:rPr>
        <w:t>Missérété</w:t>
      </w:r>
      <w:proofErr w:type="spellEnd"/>
    </w:p>
    <w:sectPr w:rsidR="00E830B5" w:rsidRPr="0006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99F"/>
    <w:multiLevelType w:val="hybridMultilevel"/>
    <w:tmpl w:val="D004B9B0"/>
    <w:lvl w:ilvl="0" w:tplc="058C1D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859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6F2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4FE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6B7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640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AA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0CB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DE50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3D0CD1"/>
    <w:multiLevelType w:val="hybridMultilevel"/>
    <w:tmpl w:val="99D40754"/>
    <w:lvl w:ilvl="0" w:tplc="6B04D2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8EF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259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4D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6F2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2CC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A0D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AB9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283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753230"/>
    <w:rsid w:val="0000336D"/>
    <w:rsid w:val="00030C8F"/>
    <w:rsid w:val="00060449"/>
    <w:rsid w:val="00062C74"/>
    <w:rsid w:val="000B0F2E"/>
    <w:rsid w:val="000F3F14"/>
    <w:rsid w:val="000F4CC2"/>
    <w:rsid w:val="00307C34"/>
    <w:rsid w:val="003E1A08"/>
    <w:rsid w:val="004A21E3"/>
    <w:rsid w:val="004A7776"/>
    <w:rsid w:val="004B587D"/>
    <w:rsid w:val="004C1D00"/>
    <w:rsid w:val="00510F4B"/>
    <w:rsid w:val="00555745"/>
    <w:rsid w:val="0059116C"/>
    <w:rsid w:val="005938CC"/>
    <w:rsid w:val="005C0A35"/>
    <w:rsid w:val="00753230"/>
    <w:rsid w:val="00760DE2"/>
    <w:rsid w:val="008442FB"/>
    <w:rsid w:val="008868AD"/>
    <w:rsid w:val="00897490"/>
    <w:rsid w:val="00997CFF"/>
    <w:rsid w:val="00A63090"/>
    <w:rsid w:val="00CB68F4"/>
    <w:rsid w:val="00CC1772"/>
    <w:rsid w:val="00D15081"/>
    <w:rsid w:val="00D24064"/>
    <w:rsid w:val="00D96EBE"/>
    <w:rsid w:val="00E65A5B"/>
    <w:rsid w:val="00E830B5"/>
    <w:rsid w:val="00EA2FA8"/>
    <w:rsid w:val="00F1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230"/>
    <w:pPr>
      <w:ind w:left="720"/>
      <w:contextualSpacing/>
    </w:pPr>
  </w:style>
  <w:style w:type="paragraph" w:styleId="Sansinterligne">
    <w:name w:val="No Spacing"/>
    <w:uiPriority w:val="1"/>
    <w:qFormat/>
    <w:rsid w:val="00753230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97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CB68F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lau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Links>
    <vt:vector size="6" baseType="variant"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>mailto:exlaure@gmail.com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</dc:creator>
  <cp:lastModifiedBy>dell</cp:lastModifiedBy>
  <cp:revision>2</cp:revision>
  <dcterms:created xsi:type="dcterms:W3CDTF">2015-03-09T10:01:00Z</dcterms:created>
  <dcterms:modified xsi:type="dcterms:W3CDTF">2015-03-09T10:01:00Z</dcterms:modified>
</cp:coreProperties>
</file>