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61" w:rsidRDefault="0080508E" w:rsidP="00027EFA">
      <w:pPr>
        <w:jc w:val="center"/>
        <w:rPr>
          <w:rFonts w:asciiTheme="majorBidi" w:hAnsiTheme="majorBidi" w:cstheme="majorBidi"/>
          <w:b/>
          <w:bCs/>
          <w:sz w:val="24"/>
          <w:szCs w:val="24"/>
        </w:rPr>
      </w:pPr>
      <w:r w:rsidRPr="0080508E">
        <w:rPr>
          <w:rFonts w:asciiTheme="majorBidi" w:hAnsiTheme="majorBidi" w:cstheme="majorBidi"/>
          <w:b/>
          <w:bCs/>
          <w:sz w:val="24"/>
          <w:szCs w:val="24"/>
        </w:rPr>
        <w:t>ESSAI DE GESTION INTEGREE DES EAU</w:t>
      </w:r>
      <w:r w:rsidR="00354061">
        <w:rPr>
          <w:rFonts w:asciiTheme="majorBidi" w:hAnsiTheme="majorBidi" w:cstheme="majorBidi"/>
          <w:b/>
          <w:bCs/>
          <w:sz w:val="24"/>
          <w:szCs w:val="24"/>
        </w:rPr>
        <w:t>X DANS LE BASSIN VERSANT DU</w:t>
      </w:r>
      <w:r w:rsidRPr="0080508E">
        <w:rPr>
          <w:rFonts w:asciiTheme="majorBidi" w:hAnsiTheme="majorBidi" w:cstheme="majorBidi"/>
          <w:b/>
          <w:bCs/>
          <w:sz w:val="24"/>
          <w:szCs w:val="24"/>
        </w:rPr>
        <w:t xml:space="preserve"> LAC TONGA (NORD-EST ALGERIEN)</w:t>
      </w:r>
    </w:p>
    <w:p w:rsidR="00354061" w:rsidRDefault="00354061" w:rsidP="00027EFA">
      <w:pPr>
        <w:spacing w:after="0"/>
        <w:jc w:val="center"/>
        <w:rPr>
          <w:rFonts w:ascii="Times New Roman" w:hAnsi="Times New Roman" w:cs="Times New Roman"/>
          <w:b/>
          <w:sz w:val="24"/>
          <w:szCs w:val="24"/>
          <w:vertAlign w:val="superscript"/>
        </w:rPr>
      </w:pPr>
      <w:r w:rsidRPr="00354061">
        <w:rPr>
          <w:rFonts w:ascii="Times New Roman" w:hAnsi="Times New Roman" w:cs="Times New Roman"/>
          <w:b/>
          <w:sz w:val="24"/>
          <w:szCs w:val="24"/>
        </w:rPr>
        <w:t>Dandane H</w:t>
      </w:r>
      <w:r w:rsidRPr="00354061">
        <w:rPr>
          <w:rFonts w:ascii="Times New Roman" w:hAnsi="Times New Roman" w:cs="Times New Roman"/>
          <w:b/>
          <w:sz w:val="24"/>
          <w:szCs w:val="24"/>
          <w:vertAlign w:val="superscript"/>
        </w:rPr>
        <w:t>1</w:t>
      </w:r>
      <w:r w:rsidRPr="00354061">
        <w:rPr>
          <w:rFonts w:ascii="Times New Roman" w:hAnsi="Times New Roman" w:cs="Times New Roman"/>
          <w:b/>
          <w:sz w:val="24"/>
          <w:szCs w:val="24"/>
        </w:rPr>
        <w:t xml:space="preserve">, Zouini D </w:t>
      </w:r>
      <w:r w:rsidRPr="00354061">
        <w:rPr>
          <w:rFonts w:ascii="Times New Roman" w:hAnsi="Times New Roman" w:cs="Times New Roman"/>
          <w:b/>
          <w:sz w:val="24"/>
          <w:szCs w:val="24"/>
          <w:vertAlign w:val="superscript"/>
        </w:rPr>
        <w:t>2</w:t>
      </w:r>
    </w:p>
    <w:p w:rsidR="0022775C" w:rsidRPr="00354061" w:rsidRDefault="0022775C" w:rsidP="00027EFA">
      <w:pPr>
        <w:spacing w:after="0"/>
        <w:jc w:val="center"/>
        <w:rPr>
          <w:rFonts w:ascii="Times New Roman" w:hAnsi="Times New Roman" w:cs="Times New Roman"/>
          <w:b/>
          <w:sz w:val="24"/>
          <w:szCs w:val="24"/>
        </w:rPr>
      </w:pPr>
    </w:p>
    <w:p w:rsidR="00354061" w:rsidRPr="00027EFA" w:rsidRDefault="00354061" w:rsidP="00027EFA">
      <w:pPr>
        <w:spacing w:after="0"/>
        <w:jc w:val="center"/>
        <w:rPr>
          <w:rFonts w:ascii="Times New Roman" w:hAnsi="Times New Roman" w:cs="Times New Roman"/>
          <w:b/>
          <w:bCs/>
          <w:i/>
          <w:iCs/>
          <w:sz w:val="20"/>
          <w:szCs w:val="20"/>
        </w:rPr>
      </w:pPr>
      <w:r w:rsidRPr="00027EFA">
        <w:rPr>
          <w:rFonts w:ascii="Times New Roman" w:hAnsi="Times New Roman" w:cs="Times New Roman"/>
          <w:b/>
          <w:bCs/>
          <w:i/>
          <w:iCs/>
          <w:sz w:val="20"/>
          <w:szCs w:val="20"/>
          <w:vertAlign w:val="superscript"/>
        </w:rPr>
        <w:t>1</w:t>
      </w:r>
      <w:r w:rsidRPr="00027EFA">
        <w:rPr>
          <w:rFonts w:ascii="Times New Roman" w:hAnsi="Times New Roman" w:cs="Times New Roman"/>
          <w:b/>
          <w:bCs/>
          <w:i/>
          <w:iCs/>
          <w:sz w:val="20"/>
          <w:szCs w:val="20"/>
        </w:rPr>
        <w:t>Département de géologie, faculté de sciences de la terre et l’univaire,</w:t>
      </w:r>
    </w:p>
    <w:p w:rsidR="00354061" w:rsidRPr="00027EFA" w:rsidRDefault="00354061" w:rsidP="00027EFA">
      <w:pPr>
        <w:spacing w:after="0"/>
        <w:jc w:val="center"/>
        <w:rPr>
          <w:rFonts w:ascii="Times New Roman" w:hAnsi="Times New Roman" w:cs="Times New Roman"/>
          <w:b/>
          <w:bCs/>
          <w:i/>
          <w:iCs/>
          <w:sz w:val="20"/>
          <w:szCs w:val="20"/>
        </w:rPr>
      </w:pPr>
      <w:r w:rsidRPr="00027EFA">
        <w:rPr>
          <w:rFonts w:ascii="Times New Roman" w:hAnsi="Times New Roman" w:cs="Times New Roman"/>
          <w:b/>
          <w:bCs/>
          <w:i/>
          <w:iCs/>
          <w:sz w:val="20"/>
          <w:szCs w:val="20"/>
        </w:rPr>
        <w:t>Université Badji  Mokhtar Annaba, Algérie.</w:t>
      </w:r>
    </w:p>
    <w:p w:rsidR="00354061" w:rsidRPr="00027EFA" w:rsidRDefault="00354061" w:rsidP="00027EFA">
      <w:pPr>
        <w:spacing w:after="0"/>
        <w:jc w:val="center"/>
        <w:rPr>
          <w:rFonts w:ascii="Times New Roman" w:hAnsi="Times New Roman" w:cs="Times New Roman"/>
          <w:i/>
          <w:iCs/>
          <w:sz w:val="20"/>
          <w:szCs w:val="20"/>
        </w:rPr>
      </w:pPr>
      <w:r w:rsidRPr="00027EFA">
        <w:rPr>
          <w:rFonts w:ascii="Times New Roman" w:hAnsi="Times New Roman" w:cs="Times New Roman"/>
          <w:i/>
          <w:iCs/>
          <w:sz w:val="20"/>
          <w:szCs w:val="20"/>
        </w:rPr>
        <w:t>nassima_dan@yahoo.fr</w:t>
      </w:r>
    </w:p>
    <w:p w:rsidR="00354061" w:rsidRDefault="00354061" w:rsidP="00027EFA">
      <w:pPr>
        <w:spacing w:after="0"/>
        <w:jc w:val="center"/>
        <w:rPr>
          <w:rFonts w:ascii="Times New Roman" w:hAnsi="Times New Roman" w:cs="Times New Roman"/>
          <w:sz w:val="24"/>
          <w:szCs w:val="24"/>
        </w:rPr>
      </w:pPr>
    </w:p>
    <w:p w:rsidR="00354061" w:rsidRPr="0022775C" w:rsidRDefault="00354061" w:rsidP="00027EFA">
      <w:pPr>
        <w:spacing w:after="0"/>
        <w:jc w:val="center"/>
        <w:rPr>
          <w:rFonts w:ascii="Times New Roman" w:hAnsi="Times New Roman" w:cs="Times New Roman"/>
          <w:b/>
          <w:bCs/>
          <w:i/>
          <w:iCs/>
          <w:sz w:val="20"/>
          <w:szCs w:val="20"/>
        </w:rPr>
      </w:pPr>
      <w:r w:rsidRPr="0022775C">
        <w:rPr>
          <w:rFonts w:ascii="Times New Roman" w:hAnsi="Times New Roman" w:cs="Times New Roman"/>
          <w:b/>
          <w:bCs/>
          <w:i/>
          <w:iCs/>
          <w:sz w:val="20"/>
          <w:szCs w:val="20"/>
          <w:vertAlign w:val="superscript"/>
        </w:rPr>
        <w:t>2</w:t>
      </w:r>
      <w:r w:rsidRPr="0022775C">
        <w:rPr>
          <w:rFonts w:ascii="Times New Roman" w:hAnsi="Times New Roman" w:cs="Times New Roman"/>
          <w:b/>
          <w:bCs/>
          <w:i/>
          <w:iCs/>
          <w:sz w:val="20"/>
          <w:szCs w:val="20"/>
        </w:rPr>
        <w:t>Laboratoire de Recherches Géologiques (LRG), faculté de sciences de la terre et l’univaire,</w:t>
      </w:r>
    </w:p>
    <w:p w:rsidR="00354061" w:rsidRPr="0022775C" w:rsidRDefault="00354061" w:rsidP="00027EFA">
      <w:pPr>
        <w:spacing w:after="0"/>
        <w:jc w:val="center"/>
        <w:rPr>
          <w:rFonts w:ascii="Times New Roman" w:hAnsi="Times New Roman" w:cs="Times New Roman"/>
          <w:b/>
          <w:bCs/>
          <w:i/>
          <w:iCs/>
          <w:sz w:val="20"/>
          <w:szCs w:val="20"/>
        </w:rPr>
      </w:pPr>
      <w:r w:rsidRPr="0022775C">
        <w:rPr>
          <w:rFonts w:ascii="Times New Roman" w:hAnsi="Times New Roman" w:cs="Times New Roman"/>
          <w:b/>
          <w:bCs/>
          <w:i/>
          <w:iCs/>
          <w:sz w:val="20"/>
          <w:szCs w:val="20"/>
        </w:rPr>
        <w:t>Université Badji  Mokhtar, BP 12, Annaba 23000, Algérie.</w:t>
      </w:r>
    </w:p>
    <w:p w:rsidR="00354061" w:rsidRPr="00027EFA" w:rsidRDefault="00B95FDC" w:rsidP="00027EFA">
      <w:pPr>
        <w:spacing w:after="0"/>
        <w:jc w:val="center"/>
        <w:rPr>
          <w:rFonts w:ascii="Times New Roman" w:hAnsi="Times New Roman" w:cs="Times New Roman"/>
          <w:i/>
          <w:iCs/>
          <w:sz w:val="28"/>
          <w:szCs w:val="28"/>
        </w:rPr>
      </w:pPr>
      <w:hyperlink r:id="rId8" w:history="1">
        <w:r w:rsidR="00354061" w:rsidRPr="00027EFA">
          <w:rPr>
            <w:rStyle w:val="Lienhypertexte"/>
            <w:rFonts w:ascii="Times New Roman" w:hAnsi="Times New Roman" w:cs="Times New Roman"/>
            <w:i/>
            <w:iCs/>
            <w:color w:val="auto"/>
            <w:sz w:val="24"/>
            <w:szCs w:val="24"/>
            <w:u w:val="none"/>
          </w:rPr>
          <w:t>zouinid@yahoo.fr</w:t>
        </w:r>
      </w:hyperlink>
    </w:p>
    <w:p w:rsidR="001E6F4F" w:rsidRDefault="001E6F4F" w:rsidP="00354061">
      <w:pPr>
        <w:rPr>
          <w:rFonts w:asciiTheme="majorBidi" w:hAnsiTheme="majorBidi" w:cstheme="majorBidi"/>
          <w:sz w:val="24"/>
          <w:szCs w:val="24"/>
        </w:rPr>
      </w:pPr>
    </w:p>
    <w:p w:rsidR="001E6F4F" w:rsidRPr="007F7B72" w:rsidRDefault="001E6F4F" w:rsidP="001E6F4F">
      <w:pPr>
        <w:rPr>
          <w:rFonts w:asciiTheme="majorBidi" w:hAnsiTheme="majorBidi" w:cstheme="majorBidi"/>
          <w:b/>
          <w:bCs/>
          <w:sz w:val="28"/>
        </w:rPr>
      </w:pPr>
      <w:r w:rsidRPr="007F7B72">
        <w:rPr>
          <w:rFonts w:asciiTheme="majorBidi" w:hAnsiTheme="majorBidi" w:cstheme="majorBidi"/>
          <w:b/>
          <w:bCs/>
          <w:sz w:val="28"/>
        </w:rPr>
        <w:t>Résumé</w:t>
      </w:r>
    </w:p>
    <w:p w:rsidR="001E6F4F" w:rsidRPr="007F7B72" w:rsidRDefault="001E6F4F" w:rsidP="001E6F4F">
      <w:pPr>
        <w:pStyle w:val="Default"/>
        <w:jc w:val="both"/>
        <w:rPr>
          <w:rFonts w:asciiTheme="majorBidi" w:hAnsiTheme="majorBidi" w:cstheme="majorBidi"/>
          <w:sz w:val="28"/>
          <w:szCs w:val="22"/>
        </w:rPr>
      </w:pPr>
      <w:r w:rsidRPr="007F7B72">
        <w:rPr>
          <w:rFonts w:asciiTheme="majorBidi" w:hAnsiTheme="majorBidi" w:cstheme="majorBidi"/>
          <w:sz w:val="28"/>
          <w:szCs w:val="22"/>
        </w:rPr>
        <w:t xml:space="preserve">La gestion des ressources naturelles du bassin versant du lac Tonga est un modèle type reflètent l'échec de la gestion sectorielle actuelle adoptée. Ce mode de gestion est aujourd'hui une menace qui pèse sur son potentiel naturel. Mais surtout la ressource en eau qui est un enjeu majeure. L'objectif principal de nos travaux est d'apporter une analyse critique à la gestion actuelle qui a relevé beaucoup de conflits d'usage et de gestion au niveau du bassin versant d’ailleurs à l'origine des problèmes environnementaux au niveau de la zone humide du Tonga. Désormais, le devenir du lac Tonga dépend de la politique à envisager par les gestionnaires du bassin versant et du comportement des riverains à l'égard des mesures établies. Dans ce cas, il faudrait peut-être faire appel à une gestion participative et rationnelle où les riverains seront plutôt responsabilisés. </w:t>
      </w:r>
    </w:p>
    <w:p w:rsidR="001E6F4F" w:rsidRPr="007F7B72" w:rsidRDefault="001E6F4F" w:rsidP="001E6F4F">
      <w:pPr>
        <w:spacing w:line="240" w:lineRule="auto"/>
        <w:jc w:val="both"/>
        <w:rPr>
          <w:rFonts w:asciiTheme="majorBidi" w:hAnsiTheme="majorBidi" w:cstheme="majorBidi"/>
          <w:b/>
          <w:bCs/>
          <w:sz w:val="28"/>
        </w:rPr>
      </w:pPr>
      <w:r w:rsidRPr="007F7B72">
        <w:rPr>
          <w:rFonts w:asciiTheme="majorBidi" w:hAnsiTheme="majorBidi" w:cstheme="majorBidi"/>
          <w:sz w:val="28"/>
        </w:rPr>
        <w:t>Dans ce travail nous allons présenter comment intervenir pour améliorer la gestion des ressources en eau, qui tiendrait compte du caractère protégé du territoire et en même temps des impératifs du développement socio-économique de la population riveraine du lac, dans une perspective de développement durable.</w:t>
      </w:r>
    </w:p>
    <w:p w:rsidR="001E6F4F" w:rsidRPr="007F7B72" w:rsidRDefault="001E6F4F" w:rsidP="00673DD5">
      <w:pPr>
        <w:rPr>
          <w:rFonts w:asciiTheme="majorBidi" w:hAnsiTheme="majorBidi" w:cstheme="majorBidi"/>
          <w:sz w:val="28"/>
        </w:rPr>
      </w:pPr>
      <w:r w:rsidRPr="007F7B72">
        <w:rPr>
          <w:rFonts w:ascii="Times New Roman" w:hAnsi="Times New Roman"/>
          <w:b/>
          <w:bCs/>
          <w:sz w:val="28"/>
        </w:rPr>
        <w:t>Mots clés :</w:t>
      </w:r>
      <w:r w:rsidRPr="007F7B72">
        <w:rPr>
          <w:sz w:val="32"/>
          <w:szCs w:val="24"/>
        </w:rPr>
        <w:t xml:space="preserve"> </w:t>
      </w:r>
      <w:r w:rsidRPr="007F7B72">
        <w:rPr>
          <w:rFonts w:asciiTheme="majorBidi" w:hAnsiTheme="majorBidi" w:cstheme="majorBidi"/>
          <w:sz w:val="28"/>
        </w:rPr>
        <w:t>Ressources en eau, gestion, conflits d’usage, lac Tonga.</w:t>
      </w:r>
    </w:p>
    <w:p w:rsidR="001E6F4F" w:rsidRPr="007F7B72" w:rsidRDefault="001E6F4F" w:rsidP="001E6F4F">
      <w:pPr>
        <w:spacing w:line="240" w:lineRule="auto"/>
        <w:rPr>
          <w:rFonts w:ascii="Times New Roman" w:hAnsi="Times New Roman" w:cs="Times New Roman"/>
          <w:b/>
          <w:bCs/>
          <w:sz w:val="28"/>
        </w:rPr>
      </w:pPr>
    </w:p>
    <w:p w:rsidR="00673DD5" w:rsidRPr="007F7B72" w:rsidRDefault="00673DD5" w:rsidP="001E6F4F">
      <w:pPr>
        <w:spacing w:line="240" w:lineRule="auto"/>
        <w:rPr>
          <w:rFonts w:ascii="Times New Roman" w:hAnsi="Times New Roman" w:cs="Times New Roman"/>
          <w:b/>
          <w:bCs/>
          <w:sz w:val="28"/>
        </w:rPr>
      </w:pPr>
    </w:p>
    <w:p w:rsidR="00673DD5" w:rsidRDefault="00673DD5" w:rsidP="001E6F4F">
      <w:pPr>
        <w:spacing w:line="240" w:lineRule="auto"/>
        <w:rPr>
          <w:rFonts w:ascii="Times New Roman" w:hAnsi="Times New Roman" w:cs="Times New Roman"/>
          <w:b/>
          <w:bCs/>
        </w:rPr>
      </w:pPr>
    </w:p>
    <w:p w:rsidR="00673DD5" w:rsidRDefault="00673DD5" w:rsidP="001E6F4F">
      <w:pPr>
        <w:spacing w:line="240" w:lineRule="auto"/>
        <w:rPr>
          <w:rFonts w:ascii="Times New Roman" w:hAnsi="Times New Roman" w:cs="Times New Roman"/>
          <w:b/>
          <w:bCs/>
        </w:rPr>
      </w:pPr>
    </w:p>
    <w:p w:rsidR="00673DD5" w:rsidRDefault="00673DD5" w:rsidP="001E6F4F">
      <w:pPr>
        <w:spacing w:line="240" w:lineRule="auto"/>
        <w:rPr>
          <w:rFonts w:ascii="Times New Roman" w:hAnsi="Times New Roman" w:cs="Times New Roman"/>
          <w:b/>
          <w:bCs/>
        </w:rPr>
      </w:pPr>
    </w:p>
    <w:p w:rsidR="00673DD5" w:rsidRDefault="00673DD5" w:rsidP="001E6F4F">
      <w:pPr>
        <w:spacing w:line="240" w:lineRule="auto"/>
        <w:rPr>
          <w:rFonts w:ascii="Times New Roman" w:hAnsi="Times New Roman" w:cs="Times New Roman"/>
          <w:b/>
          <w:bCs/>
        </w:rPr>
      </w:pPr>
    </w:p>
    <w:p w:rsidR="00673DD5" w:rsidRDefault="00673DD5" w:rsidP="001E6F4F">
      <w:pPr>
        <w:spacing w:line="240" w:lineRule="auto"/>
        <w:rPr>
          <w:rFonts w:ascii="Times New Roman" w:hAnsi="Times New Roman" w:cs="Times New Roman"/>
          <w:b/>
          <w:bCs/>
        </w:rPr>
      </w:pPr>
    </w:p>
    <w:p w:rsidR="00673DD5" w:rsidRDefault="00673DD5" w:rsidP="001E6F4F">
      <w:pPr>
        <w:spacing w:line="240" w:lineRule="auto"/>
        <w:rPr>
          <w:rFonts w:ascii="Times New Roman" w:hAnsi="Times New Roman" w:cs="Times New Roman"/>
          <w:b/>
          <w:bCs/>
        </w:rPr>
      </w:pPr>
    </w:p>
    <w:p w:rsidR="00673DD5" w:rsidRPr="0022775C" w:rsidRDefault="00673DD5" w:rsidP="001E6F4F">
      <w:pPr>
        <w:spacing w:line="240" w:lineRule="auto"/>
        <w:rPr>
          <w:rFonts w:ascii="Times New Roman" w:hAnsi="Times New Roman" w:cs="Times New Roman"/>
          <w:b/>
          <w:bCs/>
        </w:rPr>
      </w:pPr>
    </w:p>
    <w:p w:rsidR="00DE5748" w:rsidRDefault="00DE5748" w:rsidP="00610061">
      <w:pPr>
        <w:rPr>
          <w:rFonts w:ascii="Times New Roman" w:hAnsi="Times New Roman" w:cs="Times New Roman"/>
          <w:b/>
          <w:bCs/>
        </w:rPr>
      </w:pPr>
    </w:p>
    <w:p w:rsidR="00BB5044" w:rsidRDefault="00BB5044" w:rsidP="00610061">
      <w:pPr>
        <w:rPr>
          <w:rFonts w:ascii="Times New Roman" w:hAnsi="Times New Roman" w:cs="Times New Roman"/>
          <w:b/>
          <w:bCs/>
        </w:rPr>
      </w:pPr>
    </w:p>
    <w:p w:rsidR="00BB5044" w:rsidRDefault="00BB5044" w:rsidP="00610061">
      <w:pPr>
        <w:rPr>
          <w:rFonts w:asciiTheme="majorBidi" w:hAnsiTheme="majorBidi" w:cstheme="majorBidi"/>
        </w:rPr>
      </w:pPr>
    </w:p>
    <w:p w:rsidR="006273FA" w:rsidRPr="00610061" w:rsidRDefault="00610061" w:rsidP="00610061">
      <w:pPr>
        <w:rPr>
          <w:rFonts w:asciiTheme="majorBidi" w:hAnsiTheme="majorBidi" w:cstheme="majorBidi"/>
          <w:b/>
          <w:bCs/>
        </w:rPr>
      </w:pPr>
      <w:r>
        <w:rPr>
          <w:rFonts w:asciiTheme="majorBidi" w:hAnsiTheme="majorBidi" w:cstheme="majorBidi"/>
          <w:b/>
          <w:bCs/>
        </w:rPr>
        <w:t xml:space="preserve">1. </w:t>
      </w:r>
      <w:r w:rsidR="006273FA" w:rsidRPr="00610061">
        <w:rPr>
          <w:rFonts w:asciiTheme="majorBidi" w:hAnsiTheme="majorBidi" w:cstheme="majorBidi"/>
          <w:b/>
          <w:bCs/>
        </w:rPr>
        <w:t xml:space="preserve">Introduction </w:t>
      </w:r>
    </w:p>
    <w:p w:rsidR="006273FA" w:rsidRDefault="00CE3752" w:rsidP="00260DFD">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L'eau </w:t>
      </w:r>
      <w:r w:rsidR="001F1EE4" w:rsidRPr="001F1EE4">
        <w:rPr>
          <w:rFonts w:asciiTheme="majorBidi" w:hAnsiTheme="majorBidi" w:cstheme="majorBidi"/>
        </w:rPr>
        <w:t>est, par</w:t>
      </w:r>
      <w:r w:rsidR="001F1EE4">
        <w:rPr>
          <w:rFonts w:asciiTheme="majorBidi" w:hAnsiTheme="majorBidi" w:cstheme="majorBidi"/>
        </w:rPr>
        <w:t xml:space="preserve"> </w:t>
      </w:r>
      <w:r w:rsidR="001F1EE4" w:rsidRPr="001F1EE4">
        <w:rPr>
          <w:rFonts w:asciiTheme="majorBidi" w:hAnsiTheme="majorBidi" w:cstheme="majorBidi"/>
        </w:rPr>
        <w:t>nature, un bien collectif qui met en jeu une multitude d’intérêts souvent contradictoires entre les</w:t>
      </w:r>
      <w:r w:rsidR="001F1EE4">
        <w:rPr>
          <w:rFonts w:asciiTheme="majorBidi" w:hAnsiTheme="majorBidi" w:cstheme="majorBidi"/>
        </w:rPr>
        <w:t xml:space="preserve"> </w:t>
      </w:r>
      <w:r w:rsidR="001F1EE4" w:rsidRPr="001F1EE4">
        <w:rPr>
          <w:rFonts w:asciiTheme="majorBidi" w:hAnsiTheme="majorBidi" w:cstheme="majorBidi"/>
        </w:rPr>
        <w:t>différents usagers: consommateurs, collectivités, agriculteurs, industriels. L’objectif de la gestion des</w:t>
      </w:r>
      <w:r w:rsidR="001F1EE4">
        <w:rPr>
          <w:rFonts w:asciiTheme="majorBidi" w:hAnsiTheme="majorBidi" w:cstheme="majorBidi"/>
        </w:rPr>
        <w:t xml:space="preserve"> </w:t>
      </w:r>
      <w:r w:rsidR="001F1EE4" w:rsidRPr="001F1EE4">
        <w:rPr>
          <w:rFonts w:asciiTheme="majorBidi" w:hAnsiTheme="majorBidi" w:cstheme="majorBidi"/>
        </w:rPr>
        <w:t>ressources hydriques consiste à satisfaire les différents usagers de l’eau dans un certain ordre de</w:t>
      </w:r>
      <w:r w:rsidR="001F1EE4">
        <w:rPr>
          <w:rFonts w:asciiTheme="majorBidi" w:hAnsiTheme="majorBidi" w:cstheme="majorBidi"/>
        </w:rPr>
        <w:t xml:space="preserve"> </w:t>
      </w:r>
      <w:r w:rsidR="001F1EE4" w:rsidRPr="001F1EE4">
        <w:rPr>
          <w:rFonts w:asciiTheme="majorBidi" w:hAnsiTheme="majorBidi" w:cstheme="majorBidi"/>
        </w:rPr>
        <w:t>priorité, tout en tenant compte de la ressource disponible et en préservant au maximum</w:t>
      </w:r>
      <w:r w:rsidR="001F1EE4">
        <w:rPr>
          <w:rFonts w:asciiTheme="majorBidi" w:hAnsiTheme="majorBidi" w:cstheme="majorBidi"/>
        </w:rPr>
        <w:t xml:space="preserve"> </w:t>
      </w:r>
      <w:r w:rsidR="001F1EE4" w:rsidRPr="001F1EE4">
        <w:rPr>
          <w:rFonts w:asciiTheme="majorBidi" w:hAnsiTheme="majorBidi" w:cstheme="majorBidi"/>
        </w:rPr>
        <w:t>l’environnement. La gestion de l'eau consiste donc à assurer la meilleure adéquation possible entre</w:t>
      </w:r>
      <w:r w:rsidR="001F1EE4">
        <w:rPr>
          <w:rFonts w:asciiTheme="majorBidi" w:hAnsiTheme="majorBidi" w:cstheme="majorBidi"/>
        </w:rPr>
        <w:t xml:space="preserve"> </w:t>
      </w:r>
      <w:r w:rsidR="001F1EE4" w:rsidRPr="001F1EE4">
        <w:rPr>
          <w:rFonts w:asciiTheme="majorBidi" w:hAnsiTheme="majorBidi" w:cstheme="majorBidi"/>
        </w:rPr>
        <w:t>ressource disponible et demande en eau, pour cela il faut mesurer, partager et contrôler : La mesure</w:t>
      </w:r>
      <w:r w:rsidR="001F1EE4">
        <w:rPr>
          <w:rFonts w:asciiTheme="majorBidi" w:hAnsiTheme="majorBidi" w:cstheme="majorBidi"/>
        </w:rPr>
        <w:t xml:space="preserve"> </w:t>
      </w:r>
      <w:r w:rsidR="001F1EE4" w:rsidRPr="001F1EE4">
        <w:rPr>
          <w:rFonts w:asciiTheme="majorBidi" w:hAnsiTheme="majorBidi" w:cstheme="majorBidi"/>
        </w:rPr>
        <w:t>doit être la première préoccupation du gestionnaire. Elle consiste donc à récolter le maximum</w:t>
      </w:r>
      <w:r w:rsidR="001F1EE4">
        <w:rPr>
          <w:rFonts w:asciiTheme="majorBidi" w:hAnsiTheme="majorBidi" w:cstheme="majorBidi"/>
        </w:rPr>
        <w:t xml:space="preserve"> </w:t>
      </w:r>
      <w:r w:rsidR="001F1EE4" w:rsidRPr="001F1EE4">
        <w:rPr>
          <w:rFonts w:asciiTheme="majorBidi" w:hAnsiTheme="majorBidi" w:cstheme="majorBidi"/>
        </w:rPr>
        <w:t>d’information relative aux différents éléments d’aide à la décision (débits, consommation, qualité de</w:t>
      </w:r>
      <w:r w:rsidR="001F1EE4">
        <w:rPr>
          <w:rFonts w:asciiTheme="majorBidi" w:hAnsiTheme="majorBidi" w:cstheme="majorBidi"/>
        </w:rPr>
        <w:t xml:space="preserve"> </w:t>
      </w:r>
      <w:r w:rsidR="001F1EE4" w:rsidRPr="001F1EE4">
        <w:rPr>
          <w:rFonts w:asciiTheme="majorBidi" w:hAnsiTheme="majorBidi" w:cstheme="majorBidi"/>
        </w:rPr>
        <w:t>l’eau, etc.). Le partage doit être contractualisé entre gestionnaire et usager. Le contrôle consiste à</w:t>
      </w:r>
      <w:r w:rsidR="001F1EE4">
        <w:rPr>
          <w:rFonts w:asciiTheme="majorBidi" w:hAnsiTheme="majorBidi" w:cstheme="majorBidi"/>
        </w:rPr>
        <w:t xml:space="preserve"> </w:t>
      </w:r>
      <w:r w:rsidR="001F1EE4" w:rsidRPr="001F1EE4">
        <w:rPr>
          <w:rFonts w:asciiTheme="majorBidi" w:hAnsiTheme="majorBidi" w:cstheme="majorBidi"/>
        </w:rPr>
        <w:t>vérifier par la mesure que le partage contractuel est respecté.</w:t>
      </w:r>
    </w:p>
    <w:p w:rsidR="00260DFD" w:rsidRPr="00260DFD" w:rsidRDefault="00260DFD" w:rsidP="00260DFD">
      <w:pPr>
        <w:autoSpaceDE w:val="0"/>
        <w:autoSpaceDN w:val="0"/>
        <w:adjustRightInd w:val="0"/>
        <w:spacing w:after="0" w:line="240" w:lineRule="auto"/>
        <w:jc w:val="both"/>
        <w:rPr>
          <w:rFonts w:asciiTheme="majorBidi" w:hAnsiTheme="majorBidi" w:cstheme="majorBidi"/>
        </w:rPr>
      </w:pPr>
    </w:p>
    <w:p w:rsidR="006273FA" w:rsidRPr="00260DFD" w:rsidRDefault="00260DFD" w:rsidP="00260DFD">
      <w:pPr>
        <w:rPr>
          <w:rFonts w:asciiTheme="majorBidi" w:hAnsiTheme="majorBidi" w:cstheme="majorBidi"/>
          <w:b/>
          <w:bCs/>
          <w:sz w:val="24"/>
          <w:szCs w:val="24"/>
        </w:rPr>
      </w:pPr>
      <w:r>
        <w:rPr>
          <w:rFonts w:asciiTheme="majorBidi" w:hAnsiTheme="majorBidi" w:cstheme="majorBidi"/>
          <w:b/>
          <w:bCs/>
          <w:sz w:val="24"/>
          <w:szCs w:val="24"/>
        </w:rPr>
        <w:t xml:space="preserve">2. </w:t>
      </w:r>
      <w:r w:rsidR="00CE3752" w:rsidRPr="00260DFD">
        <w:rPr>
          <w:rFonts w:asciiTheme="majorBidi" w:hAnsiTheme="majorBidi" w:cstheme="majorBidi"/>
          <w:b/>
          <w:bCs/>
          <w:sz w:val="24"/>
          <w:szCs w:val="24"/>
        </w:rPr>
        <w:t>Matériel et méthode </w:t>
      </w:r>
    </w:p>
    <w:p w:rsidR="006273FA" w:rsidRPr="00260DFD" w:rsidRDefault="003E5511" w:rsidP="00260DFD">
      <w:pPr>
        <w:rPr>
          <w:rFonts w:asciiTheme="majorBidi" w:hAnsiTheme="majorBidi" w:cstheme="majorBidi"/>
          <w:b/>
          <w:bCs/>
        </w:rPr>
      </w:pPr>
      <w:r w:rsidRPr="00260DFD">
        <w:rPr>
          <w:rFonts w:ascii="Times New Roman" w:hAnsi="Times New Roman" w:cs="Times New Roman"/>
          <w:b/>
          <w:bCs/>
        </w:rPr>
        <w:t>2.</w:t>
      </w:r>
      <w:r w:rsidR="006749ED" w:rsidRPr="00260DFD">
        <w:rPr>
          <w:rFonts w:ascii="Times New Roman" w:hAnsi="Times New Roman" w:cs="Times New Roman"/>
          <w:b/>
          <w:bCs/>
        </w:rPr>
        <w:t>1-Description de la zone d’étude :</w:t>
      </w:r>
    </w:p>
    <w:p w:rsidR="00E85491" w:rsidRDefault="001029C5" w:rsidP="00E85491">
      <w:pPr>
        <w:spacing w:line="240" w:lineRule="auto"/>
        <w:jc w:val="both"/>
        <w:rPr>
          <w:rFonts w:asciiTheme="majorBidi" w:hAnsiTheme="majorBidi" w:cstheme="majorBidi"/>
        </w:rPr>
      </w:pPr>
      <w:r w:rsidRPr="00E85491">
        <w:rPr>
          <w:rFonts w:asciiTheme="majorBidi" w:hAnsiTheme="majorBidi" w:cstheme="majorBidi"/>
        </w:rPr>
        <w:t xml:space="preserve">Dans le Parc National d'EI-Kala (PNEK) à l'extrême Nord-Est de l'Algérie, s’étend le bassin versant du lac Tonga sur une superficie environ 15 000 </w:t>
      </w:r>
      <w:r w:rsidR="00E85491" w:rsidRPr="00E85491">
        <w:rPr>
          <w:rFonts w:asciiTheme="majorBidi" w:hAnsiTheme="majorBidi" w:cstheme="majorBidi"/>
        </w:rPr>
        <w:t>hectares (Fig 1),</w:t>
      </w:r>
      <w:r w:rsidR="003E5511" w:rsidRPr="00E85491">
        <w:rPr>
          <w:rFonts w:asciiTheme="majorBidi" w:hAnsiTheme="majorBidi" w:cstheme="majorBidi"/>
        </w:rPr>
        <w:t xml:space="preserve"> et s’étend sur </w:t>
      </w:r>
      <w:smartTag w:uri="urn:schemas-microsoft-com:office:smarttags" w:element="metricconverter">
        <w:smartTagPr>
          <w:attr w:name="ProductID" w:val="7,5 km"/>
        </w:smartTagPr>
        <w:r w:rsidR="003E5511" w:rsidRPr="00E85491">
          <w:rPr>
            <w:rFonts w:asciiTheme="majorBidi" w:hAnsiTheme="majorBidi" w:cstheme="majorBidi"/>
          </w:rPr>
          <w:t>7,5 km</w:t>
        </w:r>
      </w:smartTag>
      <w:r w:rsidR="003E5511" w:rsidRPr="00E85491">
        <w:rPr>
          <w:rFonts w:asciiTheme="majorBidi" w:hAnsiTheme="majorBidi" w:cstheme="majorBidi"/>
        </w:rPr>
        <w:t xml:space="preserve"> de long et </w:t>
      </w:r>
      <w:smartTag w:uri="urn:schemas-microsoft-com:office:smarttags" w:element="metricconverter">
        <w:smartTagPr>
          <w:attr w:name="ProductID" w:val="4 km"/>
        </w:smartTagPr>
        <w:r w:rsidR="003E5511" w:rsidRPr="00E85491">
          <w:rPr>
            <w:rFonts w:asciiTheme="majorBidi" w:hAnsiTheme="majorBidi" w:cstheme="majorBidi"/>
          </w:rPr>
          <w:t>4 km</w:t>
        </w:r>
      </w:smartTag>
      <w:r w:rsidR="003E5511" w:rsidRPr="00E85491">
        <w:rPr>
          <w:rFonts w:asciiTheme="majorBidi" w:hAnsiTheme="majorBidi" w:cstheme="majorBidi"/>
        </w:rPr>
        <w:t xml:space="preserve"> de large. </w:t>
      </w:r>
    </w:p>
    <w:p w:rsidR="00610061" w:rsidRPr="00E85491" w:rsidRDefault="00E85491" w:rsidP="00E85491">
      <w:pPr>
        <w:spacing w:line="240" w:lineRule="auto"/>
        <w:jc w:val="both"/>
        <w:rPr>
          <w:rFonts w:asciiTheme="majorBidi" w:hAnsiTheme="majorBidi" w:cstheme="majorBidi"/>
          <w:color w:val="000000"/>
        </w:rPr>
      </w:pPr>
      <w:r w:rsidRPr="00E85491">
        <w:rPr>
          <w:rFonts w:asciiTheme="majorBidi" w:hAnsiTheme="majorBidi" w:cstheme="majorBidi"/>
          <w:color w:val="000000"/>
        </w:rPr>
        <w:t>Le réseau hydrographique du bassin versant inclus l'ensemble des cours d'eau drainant le territoire du bassin versant. Le bassin versant du lac Tonga présente deux cours d'eau majeurs qui coulent toute l'année (Oued El Haut, long de 14 km, et Oued El Eurg qui fait 10 km de longueur), donc deux sous bassins versants</w:t>
      </w:r>
      <w:r>
        <w:rPr>
          <w:rFonts w:asciiTheme="majorBidi" w:hAnsiTheme="majorBidi" w:cstheme="majorBidi"/>
          <w:color w:val="000000"/>
        </w:rPr>
        <w:t>.</w:t>
      </w:r>
    </w:p>
    <w:p w:rsidR="00610061" w:rsidRDefault="00610061" w:rsidP="00610061">
      <w:pPr>
        <w:spacing w:after="0" w:line="240" w:lineRule="auto"/>
        <w:jc w:val="both"/>
        <w:rPr>
          <w:rFonts w:asciiTheme="majorBidi" w:hAnsiTheme="majorBidi" w:cstheme="majorBidi"/>
          <w:szCs w:val="25"/>
        </w:rPr>
      </w:pPr>
    </w:p>
    <w:p w:rsidR="00610061" w:rsidRDefault="00E85491" w:rsidP="00E85491">
      <w:pPr>
        <w:tabs>
          <w:tab w:val="left" w:pos="2130"/>
        </w:tabs>
        <w:spacing w:after="0" w:line="240" w:lineRule="auto"/>
        <w:jc w:val="center"/>
        <w:rPr>
          <w:rFonts w:asciiTheme="majorBidi" w:hAnsiTheme="majorBidi" w:cstheme="majorBidi"/>
          <w:szCs w:val="25"/>
        </w:rPr>
      </w:pPr>
      <w:r w:rsidRPr="00E85491">
        <w:rPr>
          <w:rFonts w:asciiTheme="majorBidi" w:hAnsiTheme="majorBidi" w:cstheme="majorBidi"/>
          <w:noProof/>
          <w:szCs w:val="25"/>
          <w:lang w:eastAsia="fr-FR"/>
        </w:rPr>
        <w:lastRenderedPageBreak/>
        <w:drawing>
          <wp:inline distT="0" distB="0" distL="0" distR="0">
            <wp:extent cx="4895850" cy="4000500"/>
            <wp:effectExtent l="19050" t="19050" r="19050" b="19050"/>
            <wp:docPr id="1" name="Image 5"/>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9" cstate="print"/>
                    <a:srcRect l="63108" r="-117" b="-928"/>
                    <a:stretch>
                      <a:fillRect/>
                    </a:stretch>
                  </pic:blipFill>
                  <pic:spPr bwMode="auto">
                    <a:xfrm>
                      <a:off x="0" y="0"/>
                      <a:ext cx="4895850" cy="4000500"/>
                    </a:xfrm>
                    <a:prstGeom prst="rect">
                      <a:avLst/>
                    </a:prstGeom>
                    <a:noFill/>
                    <a:ln>
                      <a:solidFill>
                        <a:schemeClr val="tx1"/>
                      </a:solidFill>
                    </a:ln>
                  </pic:spPr>
                </pic:pic>
              </a:graphicData>
            </a:graphic>
          </wp:inline>
        </w:drawing>
      </w:r>
    </w:p>
    <w:p w:rsidR="00610061" w:rsidRDefault="00610061" w:rsidP="00610061">
      <w:pPr>
        <w:spacing w:after="0" w:line="240" w:lineRule="auto"/>
        <w:jc w:val="both"/>
        <w:rPr>
          <w:rFonts w:asciiTheme="majorBidi" w:hAnsiTheme="majorBidi" w:cstheme="majorBidi"/>
          <w:szCs w:val="25"/>
        </w:rPr>
      </w:pPr>
    </w:p>
    <w:p w:rsidR="00610061" w:rsidRDefault="00610061" w:rsidP="00610061">
      <w:pPr>
        <w:spacing w:after="0" w:line="240" w:lineRule="auto"/>
        <w:jc w:val="both"/>
        <w:rPr>
          <w:rFonts w:asciiTheme="majorBidi" w:hAnsiTheme="majorBidi" w:cstheme="majorBidi"/>
          <w:szCs w:val="25"/>
        </w:rPr>
      </w:pPr>
    </w:p>
    <w:p w:rsidR="009512C9" w:rsidRDefault="00E85491" w:rsidP="009512C9">
      <w:pPr>
        <w:tabs>
          <w:tab w:val="left" w:pos="1095"/>
        </w:tabs>
        <w:jc w:val="center"/>
        <w:rPr>
          <w:rFonts w:ascii="Times New Roman" w:hAnsi="Times New Roman" w:cs="Times New Roman"/>
          <w:sz w:val="24"/>
          <w:szCs w:val="24"/>
        </w:rPr>
      </w:pPr>
      <w:r w:rsidRPr="00ED796D">
        <w:rPr>
          <w:rFonts w:ascii="Times New Roman" w:hAnsi="Times New Roman" w:cs="Times New Roman"/>
          <w:b/>
          <w:bCs/>
          <w:sz w:val="24"/>
          <w:szCs w:val="24"/>
        </w:rPr>
        <w:t>Figure n° 1:</w:t>
      </w:r>
      <w:r w:rsidRPr="00ED796D">
        <w:rPr>
          <w:rFonts w:ascii="Times New Roman" w:hAnsi="Times New Roman" w:cs="Times New Roman"/>
          <w:sz w:val="24"/>
          <w:szCs w:val="24"/>
        </w:rPr>
        <w:t xml:space="preserve"> Situation et limites géographiques de la zone d’étude</w:t>
      </w:r>
    </w:p>
    <w:p w:rsidR="003E5511" w:rsidRPr="009512C9" w:rsidRDefault="00610061" w:rsidP="009512C9">
      <w:pPr>
        <w:tabs>
          <w:tab w:val="left" w:pos="1095"/>
        </w:tabs>
        <w:rPr>
          <w:rFonts w:ascii="Times New Roman" w:hAnsi="Times New Roman" w:cs="Times New Roman"/>
          <w:sz w:val="24"/>
          <w:szCs w:val="24"/>
        </w:rPr>
      </w:pPr>
      <w:r>
        <w:rPr>
          <w:rFonts w:ascii="Times New Roman" w:hAnsi="Times New Roman" w:cs="Times New Roman"/>
          <w:b/>
          <w:bCs/>
        </w:rPr>
        <w:t xml:space="preserve"> </w:t>
      </w:r>
      <w:r w:rsidR="003E5511" w:rsidRPr="003E5511">
        <w:rPr>
          <w:rFonts w:ascii="Times New Roman" w:hAnsi="Times New Roman" w:cs="Times New Roman"/>
          <w:b/>
          <w:bCs/>
        </w:rPr>
        <w:t>2. 2-Echantillonnage :</w:t>
      </w:r>
    </w:p>
    <w:p w:rsidR="003E5511" w:rsidRPr="00610061" w:rsidRDefault="003E5511" w:rsidP="00043E9E">
      <w:pPr>
        <w:autoSpaceDE w:val="0"/>
        <w:autoSpaceDN w:val="0"/>
        <w:adjustRightInd w:val="0"/>
        <w:spacing w:after="0" w:line="240" w:lineRule="auto"/>
        <w:jc w:val="both"/>
        <w:rPr>
          <w:rFonts w:asciiTheme="majorBidi" w:hAnsiTheme="majorBidi" w:cstheme="majorBidi"/>
        </w:rPr>
      </w:pPr>
      <w:r w:rsidRPr="00610061">
        <w:rPr>
          <w:rFonts w:asciiTheme="majorBidi" w:hAnsiTheme="majorBidi" w:cstheme="majorBidi"/>
        </w:rPr>
        <w:t>L’échantillonnage réalisé durant l’année 20</w:t>
      </w:r>
      <w:r w:rsidR="000B22D6">
        <w:rPr>
          <w:rFonts w:asciiTheme="majorBidi" w:hAnsiTheme="majorBidi" w:cstheme="majorBidi"/>
        </w:rPr>
        <w:t>14</w:t>
      </w:r>
      <w:r w:rsidR="00043E9E">
        <w:rPr>
          <w:rFonts w:asciiTheme="majorBidi" w:hAnsiTheme="majorBidi" w:cstheme="majorBidi"/>
        </w:rPr>
        <w:t xml:space="preserve"> a été effectué au niveau du lac, </w:t>
      </w:r>
      <w:r w:rsidRPr="00610061">
        <w:rPr>
          <w:rFonts w:asciiTheme="majorBidi" w:hAnsiTheme="majorBidi" w:cstheme="majorBidi"/>
        </w:rPr>
        <w:t xml:space="preserve">nous avons </w:t>
      </w:r>
      <w:r w:rsidR="00043E9E">
        <w:rPr>
          <w:rFonts w:asciiTheme="majorBidi" w:hAnsiTheme="majorBidi" w:cstheme="majorBidi"/>
        </w:rPr>
        <w:t xml:space="preserve">effectué 2 </w:t>
      </w:r>
      <w:r w:rsidRPr="00610061">
        <w:rPr>
          <w:rFonts w:asciiTheme="majorBidi" w:hAnsiTheme="majorBidi" w:cstheme="majorBidi"/>
        </w:rPr>
        <w:t xml:space="preserve">prélèvements de </w:t>
      </w:r>
      <w:r w:rsidR="00043E9E">
        <w:rPr>
          <w:rFonts w:asciiTheme="majorBidi" w:hAnsiTheme="majorBidi" w:cstheme="majorBidi"/>
        </w:rPr>
        <w:t xml:space="preserve">l’eau </w:t>
      </w:r>
      <w:r w:rsidRPr="00610061">
        <w:rPr>
          <w:rFonts w:asciiTheme="majorBidi" w:hAnsiTheme="majorBidi" w:cstheme="majorBidi"/>
        </w:rPr>
        <w:t>par</w:t>
      </w:r>
      <w:r w:rsidR="00610061" w:rsidRPr="00610061">
        <w:rPr>
          <w:rFonts w:asciiTheme="majorBidi" w:hAnsiTheme="majorBidi" w:cstheme="majorBidi"/>
        </w:rPr>
        <w:t xml:space="preserve"> </w:t>
      </w:r>
      <w:r w:rsidR="00043E9E">
        <w:rPr>
          <w:rFonts w:asciiTheme="majorBidi" w:hAnsiTheme="majorBidi" w:cstheme="majorBidi"/>
        </w:rPr>
        <w:t>ans ; hautes eaux et basses eaux</w:t>
      </w:r>
      <w:r w:rsidRPr="00610061">
        <w:rPr>
          <w:rFonts w:asciiTheme="majorBidi" w:hAnsiTheme="majorBidi" w:cstheme="majorBidi"/>
        </w:rPr>
        <w:t>.</w:t>
      </w:r>
    </w:p>
    <w:p w:rsidR="00610061" w:rsidRPr="00610061" w:rsidRDefault="00610061" w:rsidP="009512C9">
      <w:pPr>
        <w:autoSpaceDE w:val="0"/>
        <w:autoSpaceDN w:val="0"/>
        <w:adjustRightInd w:val="0"/>
        <w:spacing w:after="0" w:line="240" w:lineRule="auto"/>
        <w:jc w:val="both"/>
        <w:rPr>
          <w:rFonts w:asciiTheme="majorBidi" w:hAnsiTheme="majorBidi" w:cstheme="majorBidi"/>
        </w:rPr>
      </w:pPr>
      <w:r w:rsidRPr="00610061">
        <w:rPr>
          <w:rFonts w:asciiTheme="majorBidi" w:hAnsiTheme="majorBidi" w:cstheme="majorBidi"/>
        </w:rPr>
        <w:t xml:space="preserve">Les </w:t>
      </w:r>
      <w:r w:rsidR="00043E9E">
        <w:rPr>
          <w:rFonts w:asciiTheme="majorBidi" w:hAnsiTheme="majorBidi" w:cstheme="majorBidi"/>
        </w:rPr>
        <w:t xml:space="preserve">prélèvements </w:t>
      </w:r>
      <w:r w:rsidRPr="00610061">
        <w:rPr>
          <w:rFonts w:asciiTheme="majorBidi" w:hAnsiTheme="majorBidi" w:cstheme="majorBidi"/>
        </w:rPr>
        <w:t xml:space="preserve">destinés aux analyses ont été prélevés à l'aide d'un seau en polyéthylène, dans </w:t>
      </w:r>
      <w:r w:rsidR="00043E9E">
        <w:rPr>
          <w:rFonts w:asciiTheme="majorBidi" w:hAnsiTheme="majorBidi" w:cstheme="majorBidi"/>
        </w:rPr>
        <w:t>la zone d’étude</w:t>
      </w:r>
      <w:r w:rsidRPr="00610061">
        <w:rPr>
          <w:rFonts w:asciiTheme="majorBidi" w:hAnsiTheme="majorBidi" w:cstheme="majorBidi"/>
        </w:rPr>
        <w:t xml:space="preserve">. Les </w:t>
      </w:r>
      <w:r w:rsidR="005A65FB">
        <w:rPr>
          <w:rFonts w:asciiTheme="majorBidi" w:hAnsiTheme="majorBidi" w:cstheme="majorBidi"/>
        </w:rPr>
        <w:t>prélèvements</w:t>
      </w:r>
      <w:r w:rsidRPr="00610061">
        <w:rPr>
          <w:rFonts w:asciiTheme="majorBidi" w:hAnsiTheme="majorBidi" w:cstheme="majorBidi"/>
        </w:rPr>
        <w:t xml:space="preserve"> sont recueillis dans des </w:t>
      </w:r>
      <w:r w:rsidR="005A65FB">
        <w:rPr>
          <w:rFonts w:asciiTheme="majorBidi" w:hAnsiTheme="majorBidi" w:cstheme="majorBidi"/>
        </w:rPr>
        <w:t>bouteilles</w:t>
      </w:r>
      <w:r w:rsidRPr="00610061">
        <w:rPr>
          <w:rFonts w:asciiTheme="majorBidi" w:hAnsiTheme="majorBidi" w:cstheme="majorBidi"/>
        </w:rPr>
        <w:t xml:space="preserve"> en plastique ; ces </w:t>
      </w:r>
      <w:r w:rsidR="005A65FB">
        <w:rPr>
          <w:rFonts w:asciiTheme="majorBidi" w:hAnsiTheme="majorBidi" w:cstheme="majorBidi"/>
        </w:rPr>
        <w:t>bouteilles</w:t>
      </w:r>
      <w:r w:rsidRPr="00610061">
        <w:rPr>
          <w:rFonts w:asciiTheme="majorBidi" w:hAnsiTheme="majorBidi" w:cstheme="majorBidi"/>
        </w:rPr>
        <w:t xml:space="preserve"> sont ensuite conservés depuis le prélèvement jusqu’au laboratoire</w:t>
      </w:r>
      <w:r w:rsidR="005A65FB">
        <w:rPr>
          <w:rFonts w:asciiTheme="majorBidi" w:hAnsiTheme="majorBidi" w:cstheme="majorBidi"/>
        </w:rPr>
        <w:t>.</w:t>
      </w:r>
    </w:p>
    <w:p w:rsidR="006273FA" w:rsidRPr="00610061" w:rsidRDefault="006273FA" w:rsidP="006273FA">
      <w:pPr>
        <w:pStyle w:val="Paragraphedeliste"/>
        <w:rPr>
          <w:rFonts w:asciiTheme="majorBidi" w:hAnsiTheme="majorBidi" w:cstheme="majorBidi"/>
          <w:b/>
          <w:bCs/>
          <w:sz w:val="20"/>
          <w:szCs w:val="20"/>
        </w:rPr>
      </w:pPr>
    </w:p>
    <w:p w:rsidR="006273FA" w:rsidRDefault="00260DFD" w:rsidP="00260DFD">
      <w:pPr>
        <w:rPr>
          <w:rFonts w:asciiTheme="majorBidi" w:hAnsiTheme="majorBidi" w:cstheme="majorBidi"/>
          <w:b/>
          <w:bCs/>
        </w:rPr>
      </w:pPr>
      <w:r>
        <w:rPr>
          <w:rFonts w:asciiTheme="majorBidi" w:hAnsiTheme="majorBidi" w:cstheme="majorBidi"/>
          <w:b/>
          <w:bCs/>
        </w:rPr>
        <w:t xml:space="preserve">3. </w:t>
      </w:r>
      <w:r w:rsidR="006273FA" w:rsidRPr="00260DFD">
        <w:rPr>
          <w:rFonts w:asciiTheme="majorBidi" w:hAnsiTheme="majorBidi" w:cstheme="majorBidi"/>
          <w:b/>
          <w:bCs/>
        </w:rPr>
        <w:t>Résultats :</w:t>
      </w:r>
    </w:p>
    <w:p w:rsidR="008D58D5" w:rsidRDefault="008D58D5" w:rsidP="00260DFD">
      <w:pPr>
        <w:rPr>
          <w:rFonts w:asciiTheme="majorBidi" w:hAnsiTheme="majorBidi" w:cstheme="majorBidi"/>
        </w:rPr>
      </w:pPr>
      <w:r w:rsidRPr="008D58D5">
        <w:rPr>
          <w:rFonts w:asciiTheme="majorBidi" w:hAnsiTheme="majorBidi" w:cstheme="majorBidi"/>
        </w:rPr>
        <w:t xml:space="preserve">Les résultats des analyses d’eaux sont </w:t>
      </w:r>
      <w:r w:rsidR="00E9417F">
        <w:rPr>
          <w:rFonts w:asciiTheme="majorBidi" w:hAnsiTheme="majorBidi" w:cstheme="majorBidi"/>
        </w:rPr>
        <w:t>re</w:t>
      </w:r>
      <w:r w:rsidRPr="008D58D5">
        <w:rPr>
          <w:rFonts w:asciiTheme="majorBidi" w:hAnsiTheme="majorBidi" w:cstheme="majorBidi"/>
        </w:rPr>
        <w:t>présentés aux tableaux suivants</w:t>
      </w:r>
      <w:r w:rsidR="000B22D6">
        <w:rPr>
          <w:rFonts w:asciiTheme="majorBidi" w:hAnsiTheme="majorBidi" w:cstheme="majorBidi"/>
        </w:rPr>
        <w:t> :</w:t>
      </w:r>
    </w:p>
    <w:p w:rsidR="000B22D6" w:rsidRDefault="000B22D6" w:rsidP="000B22D6">
      <w:pPr>
        <w:jc w:val="center"/>
        <w:rPr>
          <w:rFonts w:ascii="Times New Roman" w:hAnsi="Times New Roman" w:cs="Times New Roman"/>
          <w:b/>
          <w:szCs w:val="16"/>
        </w:rPr>
      </w:pPr>
      <w:r w:rsidRPr="000B22D6">
        <w:rPr>
          <w:rFonts w:asciiTheme="majorBidi" w:hAnsiTheme="majorBidi" w:cstheme="majorBidi"/>
          <w:b/>
          <w:bCs/>
        </w:rPr>
        <w:t xml:space="preserve">Tab n° 1 : </w:t>
      </w:r>
      <w:r w:rsidRPr="000B22D6">
        <w:rPr>
          <w:rFonts w:ascii="Times New Roman" w:hAnsi="Times New Roman" w:cs="Times New Roman"/>
          <w:b/>
          <w:bCs/>
          <w:szCs w:val="16"/>
        </w:rPr>
        <w:t>Tableau</w:t>
      </w:r>
      <w:r w:rsidRPr="000B22D6">
        <w:rPr>
          <w:rFonts w:ascii="Times New Roman" w:hAnsi="Times New Roman" w:cs="Times New Roman"/>
          <w:b/>
          <w:szCs w:val="16"/>
        </w:rPr>
        <w:t xml:space="preserve"> représenté les résultats des analyses de l’eau des lacs Mois de Janvier 2014</w:t>
      </w:r>
      <w:r>
        <w:rPr>
          <w:rFonts w:ascii="Times New Roman" w:hAnsi="Times New Roman" w:cs="Times New Roman"/>
          <w:b/>
          <w:szCs w:val="16"/>
        </w:rPr>
        <w:t xml:space="preserve"> </w:t>
      </w:r>
      <w:r w:rsidRPr="000B22D6">
        <w:rPr>
          <w:rFonts w:ascii="Times New Roman" w:hAnsi="Times New Roman" w:cs="Times New Roman"/>
          <w:b/>
          <w:szCs w:val="16"/>
        </w:rPr>
        <w:t>(hautes eaux)</w:t>
      </w:r>
    </w:p>
    <w:tbl>
      <w:tblPr>
        <w:tblStyle w:val="Grilledutableau"/>
        <w:tblW w:w="0" w:type="auto"/>
        <w:tblLook w:val="04A0"/>
      </w:tblPr>
      <w:tblGrid>
        <w:gridCol w:w="1052"/>
        <w:gridCol w:w="1195"/>
        <w:gridCol w:w="1335"/>
        <w:gridCol w:w="1119"/>
        <w:gridCol w:w="1097"/>
        <w:gridCol w:w="1138"/>
        <w:gridCol w:w="1255"/>
        <w:gridCol w:w="1097"/>
      </w:tblGrid>
      <w:tr w:rsidR="000B22D6" w:rsidTr="000B22D6">
        <w:tc>
          <w:tcPr>
            <w:tcW w:w="1052" w:type="dxa"/>
          </w:tcPr>
          <w:p w:rsidR="000B22D6" w:rsidRDefault="00B95FDC" w:rsidP="00C74007">
            <w:r>
              <w:rPr>
                <w:noProof/>
                <w:lang w:eastAsia="fr-FR"/>
              </w:rPr>
              <w:pict>
                <v:shapetype id="_x0000_t32" coordsize="21600,21600" o:spt="32" o:oned="t" path="m,l21600,21600e" filled="f">
                  <v:path arrowok="t" fillok="f" o:connecttype="none"/>
                  <o:lock v:ext="edit" shapetype="t"/>
                </v:shapetype>
                <v:shape id="_x0000_s1028" type="#_x0000_t32" style="position:absolute;margin-left:-4.1pt;margin-top:2.3pt;width:47.25pt;height:34.5pt;flip:y;z-index:251658240" o:connectortype="straight"/>
              </w:pict>
            </w:r>
          </w:p>
        </w:tc>
        <w:tc>
          <w:tcPr>
            <w:tcW w:w="1195" w:type="dxa"/>
          </w:tcPr>
          <w:p w:rsidR="000B22D6" w:rsidRPr="00F8776E" w:rsidRDefault="000B22D6" w:rsidP="00C74007">
            <w:r>
              <w:t>NitriteNO</w:t>
            </w:r>
            <w:r>
              <w:rPr>
                <w:vertAlign w:val="subscript"/>
              </w:rPr>
              <w:t>2</w:t>
            </w:r>
            <w:r>
              <w:rPr>
                <w:vertAlign w:val="superscript"/>
              </w:rPr>
              <w:t>-</w:t>
            </w:r>
            <w:r>
              <w:t>(mg/l)</w:t>
            </w:r>
          </w:p>
        </w:tc>
        <w:tc>
          <w:tcPr>
            <w:tcW w:w="1335" w:type="dxa"/>
          </w:tcPr>
          <w:p w:rsidR="000B22D6" w:rsidRPr="00F8776E" w:rsidRDefault="000B22D6" w:rsidP="00C74007">
            <w:r>
              <w:t>NitratesNO</w:t>
            </w:r>
            <w:r>
              <w:rPr>
                <w:vertAlign w:val="subscript"/>
              </w:rPr>
              <w:t>3</w:t>
            </w:r>
            <w:r>
              <w:rPr>
                <w:vertAlign w:val="superscript"/>
              </w:rPr>
              <w:t>-</w:t>
            </w:r>
            <w:r>
              <w:t>(mg/l)</w:t>
            </w:r>
          </w:p>
        </w:tc>
        <w:tc>
          <w:tcPr>
            <w:tcW w:w="1119" w:type="dxa"/>
          </w:tcPr>
          <w:p w:rsidR="000B22D6" w:rsidRPr="00F8776E" w:rsidRDefault="000B22D6" w:rsidP="00C74007">
            <w:r>
              <w:t>Sulfates SO</w:t>
            </w:r>
            <w:r>
              <w:rPr>
                <w:vertAlign w:val="subscript"/>
              </w:rPr>
              <w:t>4</w:t>
            </w:r>
            <w:r>
              <w:rPr>
                <w:vertAlign w:val="superscript"/>
              </w:rPr>
              <w:t>—</w:t>
            </w:r>
            <w:r>
              <w:t>(mg/l)</w:t>
            </w:r>
          </w:p>
        </w:tc>
        <w:tc>
          <w:tcPr>
            <w:tcW w:w="1097" w:type="dxa"/>
          </w:tcPr>
          <w:p w:rsidR="000B22D6" w:rsidRDefault="000B22D6" w:rsidP="00C74007">
            <w:r>
              <w:t>MES (mg/l)</w:t>
            </w:r>
          </w:p>
        </w:tc>
        <w:tc>
          <w:tcPr>
            <w:tcW w:w="1138" w:type="dxa"/>
          </w:tcPr>
          <w:p w:rsidR="000B22D6" w:rsidRDefault="000B22D6" w:rsidP="00C74007">
            <w:r>
              <w:t>chlorures</w:t>
            </w:r>
          </w:p>
          <w:p w:rsidR="000B22D6" w:rsidRPr="00F8776E" w:rsidRDefault="000B22D6" w:rsidP="00C74007">
            <w:r>
              <w:t>Cl</w:t>
            </w:r>
            <w:r>
              <w:rPr>
                <w:vertAlign w:val="superscript"/>
              </w:rPr>
              <w:t>-</w:t>
            </w:r>
            <w:r>
              <w:t>(mg/l)</w:t>
            </w:r>
          </w:p>
        </w:tc>
        <w:tc>
          <w:tcPr>
            <w:tcW w:w="1255" w:type="dxa"/>
          </w:tcPr>
          <w:p w:rsidR="000B22D6" w:rsidRDefault="000B22D6" w:rsidP="00C74007">
            <w:r>
              <w:t>phosphates</w:t>
            </w:r>
          </w:p>
          <w:p w:rsidR="000B22D6" w:rsidRPr="00F8776E" w:rsidRDefault="000B22D6" w:rsidP="00C74007">
            <w:r>
              <w:t>PO</w:t>
            </w:r>
            <w:r>
              <w:rPr>
                <w:vertAlign w:val="subscript"/>
              </w:rPr>
              <w:t xml:space="preserve">4 </w:t>
            </w:r>
            <w:r>
              <w:t>(mg/l)</w:t>
            </w:r>
          </w:p>
        </w:tc>
        <w:tc>
          <w:tcPr>
            <w:tcW w:w="1097" w:type="dxa"/>
          </w:tcPr>
          <w:p w:rsidR="000B22D6" w:rsidRDefault="000B22D6" w:rsidP="00C74007">
            <w:r>
              <w:t>DBO</w:t>
            </w:r>
            <w:r w:rsidRPr="00F67DBB">
              <w:rPr>
                <w:vertAlign w:val="subscript"/>
              </w:rPr>
              <w:t>5</w:t>
            </w:r>
          </w:p>
          <w:p w:rsidR="000B22D6" w:rsidRPr="00F8776E" w:rsidRDefault="000B22D6" w:rsidP="00C74007">
            <w:r>
              <w:t>(mg/l)</w:t>
            </w:r>
          </w:p>
        </w:tc>
      </w:tr>
      <w:tr w:rsidR="000B22D6" w:rsidTr="000B22D6">
        <w:tc>
          <w:tcPr>
            <w:tcW w:w="1052" w:type="dxa"/>
          </w:tcPr>
          <w:p w:rsidR="000B22D6" w:rsidRDefault="000B22D6" w:rsidP="00C74007">
            <w:r>
              <w:t>P1</w:t>
            </w:r>
          </w:p>
        </w:tc>
        <w:tc>
          <w:tcPr>
            <w:tcW w:w="1195" w:type="dxa"/>
          </w:tcPr>
          <w:p w:rsidR="000B22D6" w:rsidRDefault="000B22D6" w:rsidP="00C74007">
            <w:r>
              <w:t>0,65</w:t>
            </w:r>
          </w:p>
        </w:tc>
        <w:tc>
          <w:tcPr>
            <w:tcW w:w="1335" w:type="dxa"/>
          </w:tcPr>
          <w:p w:rsidR="000B22D6" w:rsidRDefault="000B22D6" w:rsidP="00C74007">
            <w:r>
              <w:t>&lt;0,01</w:t>
            </w:r>
          </w:p>
        </w:tc>
        <w:tc>
          <w:tcPr>
            <w:tcW w:w="1119" w:type="dxa"/>
          </w:tcPr>
          <w:p w:rsidR="000B22D6" w:rsidRDefault="000B22D6" w:rsidP="00C74007">
            <w:r>
              <w:t>3,22</w:t>
            </w:r>
          </w:p>
        </w:tc>
        <w:tc>
          <w:tcPr>
            <w:tcW w:w="1097" w:type="dxa"/>
          </w:tcPr>
          <w:p w:rsidR="000B22D6" w:rsidRDefault="000B22D6" w:rsidP="00C74007">
            <w:r>
              <w:t>24</w:t>
            </w:r>
          </w:p>
        </w:tc>
        <w:tc>
          <w:tcPr>
            <w:tcW w:w="1138" w:type="dxa"/>
          </w:tcPr>
          <w:p w:rsidR="000B22D6" w:rsidRDefault="000B22D6" w:rsidP="00C74007">
            <w:r>
              <w:t>90,88</w:t>
            </w:r>
          </w:p>
        </w:tc>
        <w:tc>
          <w:tcPr>
            <w:tcW w:w="1255" w:type="dxa"/>
          </w:tcPr>
          <w:p w:rsidR="000B22D6" w:rsidRDefault="000B22D6" w:rsidP="00C74007">
            <w:r>
              <w:t>0,002</w:t>
            </w:r>
          </w:p>
        </w:tc>
        <w:tc>
          <w:tcPr>
            <w:tcW w:w="1097" w:type="dxa"/>
          </w:tcPr>
          <w:p w:rsidR="000B22D6" w:rsidRDefault="000B22D6" w:rsidP="00C74007">
            <w:r>
              <w:t>1</w:t>
            </w:r>
          </w:p>
        </w:tc>
      </w:tr>
      <w:tr w:rsidR="000B22D6" w:rsidTr="000B22D6">
        <w:tc>
          <w:tcPr>
            <w:tcW w:w="1052" w:type="dxa"/>
          </w:tcPr>
          <w:p w:rsidR="000B22D6" w:rsidRDefault="000B22D6" w:rsidP="00C74007">
            <w:r>
              <w:t>P2</w:t>
            </w:r>
          </w:p>
        </w:tc>
        <w:tc>
          <w:tcPr>
            <w:tcW w:w="1195" w:type="dxa"/>
          </w:tcPr>
          <w:p w:rsidR="000B22D6" w:rsidRDefault="000B22D6" w:rsidP="00C74007">
            <w:r>
              <w:t>2,1</w:t>
            </w:r>
          </w:p>
        </w:tc>
        <w:tc>
          <w:tcPr>
            <w:tcW w:w="1335" w:type="dxa"/>
          </w:tcPr>
          <w:p w:rsidR="000B22D6" w:rsidRDefault="000B22D6" w:rsidP="00C74007">
            <w:r>
              <w:t>&lt;0,01</w:t>
            </w:r>
          </w:p>
        </w:tc>
        <w:tc>
          <w:tcPr>
            <w:tcW w:w="1119" w:type="dxa"/>
          </w:tcPr>
          <w:p w:rsidR="000B22D6" w:rsidRDefault="000B22D6" w:rsidP="00C74007">
            <w:r>
              <w:t>7,34</w:t>
            </w:r>
          </w:p>
        </w:tc>
        <w:tc>
          <w:tcPr>
            <w:tcW w:w="1097" w:type="dxa"/>
          </w:tcPr>
          <w:p w:rsidR="000B22D6" w:rsidRDefault="000B22D6" w:rsidP="00C74007">
            <w:r>
              <w:t>22</w:t>
            </w:r>
          </w:p>
        </w:tc>
        <w:tc>
          <w:tcPr>
            <w:tcW w:w="1138" w:type="dxa"/>
          </w:tcPr>
          <w:p w:rsidR="000B22D6" w:rsidRDefault="000B22D6" w:rsidP="00C74007">
            <w:r>
              <w:t>115,02</w:t>
            </w:r>
          </w:p>
        </w:tc>
        <w:tc>
          <w:tcPr>
            <w:tcW w:w="1255" w:type="dxa"/>
          </w:tcPr>
          <w:p w:rsidR="000B22D6" w:rsidRDefault="000B22D6" w:rsidP="00C74007">
            <w:r>
              <w:t>0,001</w:t>
            </w:r>
          </w:p>
        </w:tc>
        <w:tc>
          <w:tcPr>
            <w:tcW w:w="1097" w:type="dxa"/>
          </w:tcPr>
          <w:p w:rsidR="000B22D6" w:rsidRDefault="000B22D6" w:rsidP="00C74007">
            <w:r>
              <w:t>2</w:t>
            </w:r>
          </w:p>
        </w:tc>
      </w:tr>
      <w:tr w:rsidR="000B22D6" w:rsidTr="000B22D6">
        <w:tc>
          <w:tcPr>
            <w:tcW w:w="1052" w:type="dxa"/>
          </w:tcPr>
          <w:p w:rsidR="000B22D6" w:rsidRDefault="000B22D6" w:rsidP="00C74007">
            <w:r>
              <w:t>P3</w:t>
            </w:r>
          </w:p>
        </w:tc>
        <w:tc>
          <w:tcPr>
            <w:tcW w:w="1195" w:type="dxa"/>
          </w:tcPr>
          <w:p w:rsidR="000B22D6" w:rsidRDefault="000B22D6" w:rsidP="00C74007">
            <w:r>
              <w:t>1,9</w:t>
            </w:r>
          </w:p>
        </w:tc>
        <w:tc>
          <w:tcPr>
            <w:tcW w:w="1335" w:type="dxa"/>
          </w:tcPr>
          <w:p w:rsidR="000B22D6" w:rsidRDefault="000B22D6" w:rsidP="00C74007">
            <w:r>
              <w:t>&lt;0,01</w:t>
            </w:r>
          </w:p>
        </w:tc>
        <w:tc>
          <w:tcPr>
            <w:tcW w:w="1119" w:type="dxa"/>
          </w:tcPr>
          <w:p w:rsidR="000B22D6" w:rsidRDefault="000B22D6" w:rsidP="00C74007">
            <w:r>
              <w:t>4,56</w:t>
            </w:r>
          </w:p>
        </w:tc>
        <w:tc>
          <w:tcPr>
            <w:tcW w:w="1097" w:type="dxa"/>
          </w:tcPr>
          <w:p w:rsidR="000B22D6" w:rsidRDefault="000B22D6" w:rsidP="00C74007">
            <w:r>
              <w:t>14</w:t>
            </w:r>
          </w:p>
        </w:tc>
        <w:tc>
          <w:tcPr>
            <w:tcW w:w="1138" w:type="dxa"/>
          </w:tcPr>
          <w:p w:rsidR="000B22D6" w:rsidRDefault="000B22D6" w:rsidP="00C74007">
            <w:r>
              <w:t>102,59</w:t>
            </w:r>
          </w:p>
        </w:tc>
        <w:tc>
          <w:tcPr>
            <w:tcW w:w="1255" w:type="dxa"/>
          </w:tcPr>
          <w:p w:rsidR="000B22D6" w:rsidRDefault="000B22D6" w:rsidP="00C74007">
            <w:r>
              <w:t>0,002</w:t>
            </w:r>
          </w:p>
        </w:tc>
        <w:tc>
          <w:tcPr>
            <w:tcW w:w="1097" w:type="dxa"/>
          </w:tcPr>
          <w:p w:rsidR="000B22D6" w:rsidRDefault="000B22D6" w:rsidP="00C74007">
            <w:r>
              <w:t>&lt;1</w:t>
            </w:r>
          </w:p>
        </w:tc>
      </w:tr>
      <w:tr w:rsidR="000B22D6" w:rsidTr="000B22D6">
        <w:tc>
          <w:tcPr>
            <w:tcW w:w="1052" w:type="dxa"/>
          </w:tcPr>
          <w:p w:rsidR="000B22D6" w:rsidRDefault="000B22D6" w:rsidP="00C74007">
            <w:r>
              <w:t>P4</w:t>
            </w:r>
          </w:p>
        </w:tc>
        <w:tc>
          <w:tcPr>
            <w:tcW w:w="1195" w:type="dxa"/>
          </w:tcPr>
          <w:p w:rsidR="000B22D6" w:rsidRDefault="000B22D6" w:rsidP="00C74007">
            <w:r>
              <w:t>2,2</w:t>
            </w:r>
          </w:p>
        </w:tc>
        <w:tc>
          <w:tcPr>
            <w:tcW w:w="1335" w:type="dxa"/>
          </w:tcPr>
          <w:p w:rsidR="000B22D6" w:rsidRDefault="000B22D6" w:rsidP="00C74007">
            <w:r>
              <w:t>&lt;0,01</w:t>
            </w:r>
          </w:p>
        </w:tc>
        <w:tc>
          <w:tcPr>
            <w:tcW w:w="1119" w:type="dxa"/>
          </w:tcPr>
          <w:p w:rsidR="000B22D6" w:rsidRDefault="000B22D6" w:rsidP="00C74007">
            <w:r>
              <w:t>6,37</w:t>
            </w:r>
          </w:p>
        </w:tc>
        <w:tc>
          <w:tcPr>
            <w:tcW w:w="1097" w:type="dxa"/>
          </w:tcPr>
          <w:p w:rsidR="000B22D6" w:rsidRDefault="000B22D6" w:rsidP="00C74007">
            <w:r>
              <w:t>13</w:t>
            </w:r>
          </w:p>
        </w:tc>
        <w:tc>
          <w:tcPr>
            <w:tcW w:w="1138" w:type="dxa"/>
          </w:tcPr>
          <w:p w:rsidR="000B22D6" w:rsidRDefault="000B22D6" w:rsidP="00C74007">
            <w:r>
              <w:t>115,02</w:t>
            </w:r>
          </w:p>
        </w:tc>
        <w:tc>
          <w:tcPr>
            <w:tcW w:w="1255" w:type="dxa"/>
          </w:tcPr>
          <w:p w:rsidR="000B22D6" w:rsidRDefault="000B22D6" w:rsidP="00C74007">
            <w:r>
              <w:t>0,004</w:t>
            </w:r>
          </w:p>
        </w:tc>
        <w:tc>
          <w:tcPr>
            <w:tcW w:w="1097" w:type="dxa"/>
          </w:tcPr>
          <w:p w:rsidR="000B22D6" w:rsidRDefault="000B22D6" w:rsidP="00C74007">
            <w:r>
              <w:t>1</w:t>
            </w:r>
          </w:p>
        </w:tc>
      </w:tr>
      <w:tr w:rsidR="000B22D6" w:rsidTr="000B22D6">
        <w:tc>
          <w:tcPr>
            <w:tcW w:w="1052" w:type="dxa"/>
          </w:tcPr>
          <w:p w:rsidR="000B22D6" w:rsidRDefault="000B22D6" w:rsidP="00C74007">
            <w:r>
              <w:t>P5</w:t>
            </w:r>
          </w:p>
        </w:tc>
        <w:tc>
          <w:tcPr>
            <w:tcW w:w="1195" w:type="dxa"/>
          </w:tcPr>
          <w:p w:rsidR="000B22D6" w:rsidRDefault="000B22D6" w:rsidP="00C74007">
            <w:r>
              <w:t>1,55</w:t>
            </w:r>
          </w:p>
        </w:tc>
        <w:tc>
          <w:tcPr>
            <w:tcW w:w="1335" w:type="dxa"/>
          </w:tcPr>
          <w:p w:rsidR="000B22D6" w:rsidRDefault="000B22D6" w:rsidP="00C74007">
            <w:r>
              <w:t>&lt;0,01</w:t>
            </w:r>
          </w:p>
        </w:tc>
        <w:tc>
          <w:tcPr>
            <w:tcW w:w="1119" w:type="dxa"/>
          </w:tcPr>
          <w:p w:rsidR="000B22D6" w:rsidRDefault="000B22D6" w:rsidP="00C74007">
            <w:r>
              <w:t>11,98</w:t>
            </w:r>
          </w:p>
        </w:tc>
        <w:tc>
          <w:tcPr>
            <w:tcW w:w="1097" w:type="dxa"/>
          </w:tcPr>
          <w:p w:rsidR="000B22D6" w:rsidRDefault="000B22D6" w:rsidP="00C74007">
            <w:r>
              <w:t>33</w:t>
            </w:r>
          </w:p>
        </w:tc>
        <w:tc>
          <w:tcPr>
            <w:tcW w:w="1138" w:type="dxa"/>
          </w:tcPr>
          <w:p w:rsidR="000B22D6" w:rsidRDefault="000B22D6" w:rsidP="00C74007">
            <w:r>
              <w:t>79,87</w:t>
            </w:r>
          </w:p>
        </w:tc>
        <w:tc>
          <w:tcPr>
            <w:tcW w:w="1255" w:type="dxa"/>
          </w:tcPr>
          <w:p w:rsidR="000B22D6" w:rsidRDefault="000B22D6" w:rsidP="00C74007">
            <w:r>
              <w:t>0,0064</w:t>
            </w:r>
          </w:p>
        </w:tc>
        <w:tc>
          <w:tcPr>
            <w:tcW w:w="1097" w:type="dxa"/>
          </w:tcPr>
          <w:p w:rsidR="000B22D6" w:rsidRDefault="000B22D6" w:rsidP="00C74007">
            <w:r>
              <w:t>2</w:t>
            </w:r>
          </w:p>
        </w:tc>
      </w:tr>
    </w:tbl>
    <w:p w:rsidR="000B22D6" w:rsidRDefault="000B22D6" w:rsidP="000B22D6">
      <w:pPr>
        <w:jc w:val="center"/>
        <w:rPr>
          <w:rFonts w:asciiTheme="majorBidi" w:hAnsiTheme="majorBidi" w:cstheme="majorBidi"/>
          <w:b/>
          <w:bCs/>
        </w:rPr>
      </w:pPr>
    </w:p>
    <w:p w:rsidR="00822D81" w:rsidRPr="000B22D6" w:rsidRDefault="000B22D6" w:rsidP="009512C9">
      <w:pPr>
        <w:jc w:val="center"/>
        <w:rPr>
          <w:rFonts w:ascii="Times New Roman" w:hAnsi="Times New Roman" w:cs="Times New Roman"/>
          <w:b/>
          <w:szCs w:val="16"/>
        </w:rPr>
      </w:pPr>
      <w:r w:rsidRPr="000B22D6">
        <w:rPr>
          <w:rFonts w:asciiTheme="majorBidi" w:hAnsiTheme="majorBidi" w:cstheme="majorBidi"/>
          <w:b/>
          <w:bCs/>
        </w:rPr>
        <w:lastRenderedPageBreak/>
        <w:t xml:space="preserve">Tab </w:t>
      </w:r>
      <w:r>
        <w:rPr>
          <w:rFonts w:asciiTheme="majorBidi" w:hAnsiTheme="majorBidi" w:cstheme="majorBidi"/>
          <w:b/>
          <w:bCs/>
        </w:rPr>
        <w:t>n° 2</w:t>
      </w:r>
      <w:r w:rsidRPr="000B22D6">
        <w:rPr>
          <w:rFonts w:asciiTheme="majorBidi" w:hAnsiTheme="majorBidi" w:cstheme="majorBidi"/>
          <w:b/>
          <w:bCs/>
        </w:rPr>
        <w:t xml:space="preserve"> : </w:t>
      </w:r>
      <w:r w:rsidRPr="000B22D6">
        <w:rPr>
          <w:rFonts w:ascii="Times New Roman" w:hAnsi="Times New Roman" w:cs="Times New Roman"/>
          <w:b/>
          <w:bCs/>
          <w:szCs w:val="16"/>
        </w:rPr>
        <w:t>Tableau</w:t>
      </w:r>
      <w:r w:rsidRPr="000B22D6">
        <w:rPr>
          <w:rFonts w:ascii="Times New Roman" w:hAnsi="Times New Roman" w:cs="Times New Roman"/>
          <w:b/>
          <w:szCs w:val="16"/>
        </w:rPr>
        <w:t xml:space="preserve"> représenté les résultats des analyses de l’eau des lacs Mois de </w:t>
      </w:r>
      <w:r>
        <w:rPr>
          <w:rFonts w:ascii="Times New Roman" w:hAnsi="Times New Roman" w:cs="Times New Roman"/>
          <w:b/>
          <w:szCs w:val="16"/>
        </w:rPr>
        <w:t xml:space="preserve">Septembre </w:t>
      </w:r>
      <w:r w:rsidRPr="000B22D6">
        <w:rPr>
          <w:rFonts w:ascii="Times New Roman" w:hAnsi="Times New Roman" w:cs="Times New Roman"/>
          <w:b/>
          <w:szCs w:val="16"/>
        </w:rPr>
        <w:t>2014</w:t>
      </w:r>
      <w:r>
        <w:rPr>
          <w:rFonts w:ascii="Times New Roman" w:hAnsi="Times New Roman" w:cs="Times New Roman"/>
          <w:b/>
          <w:szCs w:val="16"/>
        </w:rPr>
        <w:t xml:space="preserve"> </w:t>
      </w:r>
      <w:r w:rsidRPr="000B22D6">
        <w:rPr>
          <w:rFonts w:ascii="Times New Roman" w:hAnsi="Times New Roman" w:cs="Times New Roman"/>
          <w:b/>
          <w:szCs w:val="16"/>
        </w:rPr>
        <w:t>(</w:t>
      </w:r>
      <w:r>
        <w:rPr>
          <w:rFonts w:ascii="Times New Roman" w:hAnsi="Times New Roman" w:cs="Times New Roman"/>
          <w:b/>
          <w:szCs w:val="16"/>
        </w:rPr>
        <w:t>basses</w:t>
      </w:r>
      <w:r w:rsidRPr="000B22D6">
        <w:rPr>
          <w:rFonts w:ascii="Times New Roman" w:hAnsi="Times New Roman" w:cs="Times New Roman"/>
          <w:b/>
          <w:szCs w:val="16"/>
        </w:rPr>
        <w:t xml:space="preserve"> eaux)</w:t>
      </w:r>
    </w:p>
    <w:tbl>
      <w:tblPr>
        <w:tblStyle w:val="Grilledutableau"/>
        <w:tblW w:w="0" w:type="auto"/>
        <w:tblLook w:val="04A0"/>
      </w:tblPr>
      <w:tblGrid>
        <w:gridCol w:w="1052"/>
        <w:gridCol w:w="1195"/>
        <w:gridCol w:w="1335"/>
        <w:gridCol w:w="1119"/>
        <w:gridCol w:w="1097"/>
        <w:gridCol w:w="1138"/>
        <w:gridCol w:w="1255"/>
        <w:gridCol w:w="1097"/>
      </w:tblGrid>
      <w:tr w:rsidR="00822D81" w:rsidTr="00C74007">
        <w:tc>
          <w:tcPr>
            <w:tcW w:w="1145" w:type="dxa"/>
          </w:tcPr>
          <w:p w:rsidR="00822D81" w:rsidRDefault="00B95FDC" w:rsidP="00C74007">
            <w:r>
              <w:rPr>
                <w:noProof/>
                <w:lang w:eastAsia="fr-FR"/>
              </w:rPr>
              <w:pict>
                <v:shape id="_x0000_s1026" type="#_x0000_t32" style="position:absolute;margin-left:-4.1pt;margin-top:1.4pt;width:47.25pt;height:35.15pt;flip:y;z-index:251660288" o:connectortype="straight"/>
              </w:pict>
            </w:r>
          </w:p>
        </w:tc>
        <w:tc>
          <w:tcPr>
            <w:tcW w:w="1147" w:type="dxa"/>
          </w:tcPr>
          <w:p w:rsidR="00822D81" w:rsidRDefault="00F8776E" w:rsidP="00C74007">
            <w:r>
              <w:t>NitriteNO</w:t>
            </w:r>
            <w:r>
              <w:rPr>
                <w:vertAlign w:val="subscript"/>
              </w:rPr>
              <w:t>2</w:t>
            </w:r>
            <w:r>
              <w:rPr>
                <w:vertAlign w:val="superscript"/>
              </w:rPr>
              <w:t>-</w:t>
            </w:r>
            <w:r>
              <w:t>(mg/l)</w:t>
            </w:r>
          </w:p>
        </w:tc>
        <w:tc>
          <w:tcPr>
            <w:tcW w:w="1148" w:type="dxa"/>
          </w:tcPr>
          <w:p w:rsidR="00822D81" w:rsidRDefault="00F8776E" w:rsidP="00C74007">
            <w:r>
              <w:t>NitratesNO</w:t>
            </w:r>
            <w:r>
              <w:rPr>
                <w:vertAlign w:val="subscript"/>
              </w:rPr>
              <w:t>3</w:t>
            </w:r>
            <w:r>
              <w:rPr>
                <w:vertAlign w:val="superscript"/>
              </w:rPr>
              <w:t>-</w:t>
            </w:r>
            <w:r>
              <w:t>(mg/l)</w:t>
            </w:r>
          </w:p>
        </w:tc>
        <w:tc>
          <w:tcPr>
            <w:tcW w:w="1148" w:type="dxa"/>
          </w:tcPr>
          <w:p w:rsidR="00822D81" w:rsidRDefault="00F8776E" w:rsidP="00C74007">
            <w:r>
              <w:t>Sulfates SO</w:t>
            </w:r>
            <w:r>
              <w:rPr>
                <w:vertAlign w:val="subscript"/>
              </w:rPr>
              <w:t>4</w:t>
            </w:r>
            <w:r>
              <w:rPr>
                <w:vertAlign w:val="superscript"/>
              </w:rPr>
              <w:t>—</w:t>
            </w:r>
            <w:r>
              <w:t>(mg/l)</w:t>
            </w:r>
          </w:p>
        </w:tc>
        <w:tc>
          <w:tcPr>
            <w:tcW w:w="1147" w:type="dxa"/>
          </w:tcPr>
          <w:p w:rsidR="00F8776E" w:rsidRDefault="00822D81" w:rsidP="00C74007">
            <w:r>
              <w:t>MES</w:t>
            </w:r>
          </w:p>
          <w:p w:rsidR="00822D81" w:rsidRPr="00F8776E" w:rsidRDefault="00F8776E" w:rsidP="00F8776E">
            <w:r>
              <w:t>(mg/l)</w:t>
            </w:r>
          </w:p>
        </w:tc>
        <w:tc>
          <w:tcPr>
            <w:tcW w:w="1151" w:type="dxa"/>
          </w:tcPr>
          <w:p w:rsidR="00F8776E" w:rsidRDefault="00822D81" w:rsidP="00C74007">
            <w:r>
              <w:t>chlorures</w:t>
            </w:r>
          </w:p>
          <w:p w:rsidR="00822D81" w:rsidRPr="00F8776E" w:rsidRDefault="00F8776E" w:rsidP="00F8776E">
            <w:r>
              <w:t>Cl</w:t>
            </w:r>
            <w:r>
              <w:rPr>
                <w:vertAlign w:val="superscript"/>
              </w:rPr>
              <w:t>-</w:t>
            </w:r>
            <w:r>
              <w:t>(mg/l)</w:t>
            </w:r>
          </w:p>
        </w:tc>
        <w:tc>
          <w:tcPr>
            <w:tcW w:w="1255" w:type="dxa"/>
          </w:tcPr>
          <w:p w:rsidR="00F8776E" w:rsidRDefault="00822D81" w:rsidP="00C74007">
            <w:r>
              <w:t>phosphates</w:t>
            </w:r>
          </w:p>
          <w:p w:rsidR="00822D81" w:rsidRPr="00F8776E" w:rsidRDefault="00F8776E" w:rsidP="00F8776E">
            <w:r>
              <w:t>PO</w:t>
            </w:r>
            <w:r>
              <w:rPr>
                <w:vertAlign w:val="subscript"/>
              </w:rPr>
              <w:t xml:space="preserve">4 </w:t>
            </w:r>
            <w:r>
              <w:t>(mg/l)</w:t>
            </w:r>
          </w:p>
        </w:tc>
        <w:tc>
          <w:tcPr>
            <w:tcW w:w="1147" w:type="dxa"/>
          </w:tcPr>
          <w:p w:rsidR="00F8776E" w:rsidRDefault="00822D81" w:rsidP="00C74007">
            <w:r>
              <w:t>DBO</w:t>
            </w:r>
            <w:r w:rsidRPr="00F67DBB">
              <w:rPr>
                <w:vertAlign w:val="subscript"/>
              </w:rPr>
              <w:t>5</w:t>
            </w:r>
          </w:p>
          <w:p w:rsidR="00822D81" w:rsidRPr="00F8776E" w:rsidRDefault="00F8776E" w:rsidP="00F8776E">
            <w:r>
              <w:t>(mg/l)</w:t>
            </w:r>
          </w:p>
        </w:tc>
      </w:tr>
      <w:tr w:rsidR="00822D81" w:rsidTr="00C74007">
        <w:tc>
          <w:tcPr>
            <w:tcW w:w="1145" w:type="dxa"/>
          </w:tcPr>
          <w:p w:rsidR="00822D81" w:rsidRDefault="00822D81" w:rsidP="00F8776E">
            <w:r>
              <w:t>P1</w:t>
            </w:r>
          </w:p>
        </w:tc>
        <w:tc>
          <w:tcPr>
            <w:tcW w:w="1147" w:type="dxa"/>
          </w:tcPr>
          <w:p w:rsidR="00822D81" w:rsidRDefault="00822D81" w:rsidP="00C74007">
            <w:r>
              <w:t>3,04</w:t>
            </w:r>
          </w:p>
        </w:tc>
        <w:tc>
          <w:tcPr>
            <w:tcW w:w="1148" w:type="dxa"/>
          </w:tcPr>
          <w:p w:rsidR="00822D81" w:rsidRDefault="00822D81" w:rsidP="00C74007">
            <w:r>
              <w:t>2</w:t>
            </w:r>
          </w:p>
        </w:tc>
        <w:tc>
          <w:tcPr>
            <w:tcW w:w="1148" w:type="dxa"/>
          </w:tcPr>
          <w:p w:rsidR="00822D81" w:rsidRDefault="00822D81" w:rsidP="00C74007">
            <w:r>
              <w:t>6,99</w:t>
            </w:r>
          </w:p>
        </w:tc>
        <w:tc>
          <w:tcPr>
            <w:tcW w:w="1147" w:type="dxa"/>
          </w:tcPr>
          <w:p w:rsidR="00822D81" w:rsidRDefault="00822D81" w:rsidP="00C74007">
            <w:r>
              <w:t>37,81</w:t>
            </w:r>
          </w:p>
        </w:tc>
        <w:tc>
          <w:tcPr>
            <w:tcW w:w="1151" w:type="dxa"/>
          </w:tcPr>
          <w:p w:rsidR="00822D81" w:rsidRDefault="00822D81" w:rsidP="00C74007">
            <w:r>
              <w:t>148,1</w:t>
            </w:r>
          </w:p>
        </w:tc>
        <w:tc>
          <w:tcPr>
            <w:tcW w:w="1255" w:type="dxa"/>
          </w:tcPr>
          <w:p w:rsidR="00822D81" w:rsidRDefault="00822D81" w:rsidP="00C74007">
            <w:r>
              <w:t>0,20</w:t>
            </w:r>
          </w:p>
        </w:tc>
        <w:tc>
          <w:tcPr>
            <w:tcW w:w="1147" w:type="dxa"/>
          </w:tcPr>
          <w:p w:rsidR="00822D81" w:rsidRDefault="00822D81" w:rsidP="00C74007">
            <w:r>
              <w:t>40</w:t>
            </w:r>
          </w:p>
        </w:tc>
      </w:tr>
      <w:tr w:rsidR="00822D81" w:rsidTr="00C74007">
        <w:tc>
          <w:tcPr>
            <w:tcW w:w="1145" w:type="dxa"/>
          </w:tcPr>
          <w:p w:rsidR="00822D81" w:rsidRDefault="00822D81" w:rsidP="00F8776E">
            <w:r>
              <w:t>P2</w:t>
            </w:r>
          </w:p>
        </w:tc>
        <w:tc>
          <w:tcPr>
            <w:tcW w:w="1147" w:type="dxa"/>
          </w:tcPr>
          <w:p w:rsidR="00822D81" w:rsidRDefault="00822D81" w:rsidP="00C74007">
            <w:r>
              <w:t>1,02</w:t>
            </w:r>
          </w:p>
        </w:tc>
        <w:tc>
          <w:tcPr>
            <w:tcW w:w="1148" w:type="dxa"/>
          </w:tcPr>
          <w:p w:rsidR="00822D81" w:rsidRDefault="00822D81" w:rsidP="00C74007">
            <w:r>
              <w:t>6,98</w:t>
            </w:r>
          </w:p>
        </w:tc>
        <w:tc>
          <w:tcPr>
            <w:tcW w:w="1148" w:type="dxa"/>
          </w:tcPr>
          <w:p w:rsidR="00822D81" w:rsidRDefault="00822D81" w:rsidP="00C74007">
            <w:r>
              <w:t>13,99</w:t>
            </w:r>
          </w:p>
        </w:tc>
        <w:tc>
          <w:tcPr>
            <w:tcW w:w="1147" w:type="dxa"/>
          </w:tcPr>
          <w:p w:rsidR="00822D81" w:rsidRDefault="00822D81" w:rsidP="00C74007">
            <w:r>
              <w:t>30,70</w:t>
            </w:r>
          </w:p>
        </w:tc>
        <w:tc>
          <w:tcPr>
            <w:tcW w:w="1151" w:type="dxa"/>
          </w:tcPr>
          <w:p w:rsidR="00822D81" w:rsidRDefault="00822D81" w:rsidP="00C74007">
            <w:r>
              <w:t>163,08</w:t>
            </w:r>
          </w:p>
        </w:tc>
        <w:tc>
          <w:tcPr>
            <w:tcW w:w="1255" w:type="dxa"/>
          </w:tcPr>
          <w:p w:rsidR="00822D81" w:rsidRDefault="00822D81" w:rsidP="00C74007">
            <w:r>
              <w:t>0,03</w:t>
            </w:r>
          </w:p>
        </w:tc>
        <w:tc>
          <w:tcPr>
            <w:tcW w:w="1147" w:type="dxa"/>
          </w:tcPr>
          <w:p w:rsidR="00822D81" w:rsidRDefault="00822D81" w:rsidP="00C74007">
            <w:r>
              <w:t>51</w:t>
            </w:r>
          </w:p>
        </w:tc>
      </w:tr>
      <w:tr w:rsidR="00822D81" w:rsidTr="00C74007">
        <w:tc>
          <w:tcPr>
            <w:tcW w:w="1145" w:type="dxa"/>
          </w:tcPr>
          <w:p w:rsidR="00822D81" w:rsidRDefault="00822D81" w:rsidP="00F8776E">
            <w:r>
              <w:t>P3</w:t>
            </w:r>
          </w:p>
        </w:tc>
        <w:tc>
          <w:tcPr>
            <w:tcW w:w="1147" w:type="dxa"/>
          </w:tcPr>
          <w:p w:rsidR="00822D81" w:rsidRDefault="00822D81" w:rsidP="00C74007">
            <w:r>
              <w:t>0,02</w:t>
            </w:r>
          </w:p>
        </w:tc>
        <w:tc>
          <w:tcPr>
            <w:tcW w:w="1148" w:type="dxa"/>
          </w:tcPr>
          <w:p w:rsidR="00822D81" w:rsidRDefault="00822D81" w:rsidP="00C74007">
            <w:r>
              <w:t>5</w:t>
            </w:r>
          </w:p>
        </w:tc>
        <w:tc>
          <w:tcPr>
            <w:tcW w:w="1148" w:type="dxa"/>
          </w:tcPr>
          <w:p w:rsidR="00822D81" w:rsidRDefault="00822D81" w:rsidP="00C74007">
            <w:r>
              <w:t>9,05</w:t>
            </w:r>
          </w:p>
        </w:tc>
        <w:tc>
          <w:tcPr>
            <w:tcW w:w="1147" w:type="dxa"/>
          </w:tcPr>
          <w:p w:rsidR="00822D81" w:rsidRDefault="00822D81" w:rsidP="00C74007">
            <w:r>
              <w:t>36,63</w:t>
            </w:r>
          </w:p>
        </w:tc>
        <w:tc>
          <w:tcPr>
            <w:tcW w:w="1151" w:type="dxa"/>
          </w:tcPr>
          <w:p w:rsidR="00822D81" w:rsidRDefault="00822D81" w:rsidP="00C74007">
            <w:r>
              <w:t>163,08</w:t>
            </w:r>
          </w:p>
        </w:tc>
        <w:tc>
          <w:tcPr>
            <w:tcW w:w="1255" w:type="dxa"/>
          </w:tcPr>
          <w:p w:rsidR="00822D81" w:rsidRDefault="00822D81" w:rsidP="00C74007">
            <w:r>
              <w:t>0,12</w:t>
            </w:r>
          </w:p>
        </w:tc>
        <w:tc>
          <w:tcPr>
            <w:tcW w:w="1147" w:type="dxa"/>
          </w:tcPr>
          <w:p w:rsidR="00822D81" w:rsidRDefault="00822D81" w:rsidP="00C74007">
            <w:r>
              <w:t>50</w:t>
            </w:r>
          </w:p>
        </w:tc>
      </w:tr>
      <w:tr w:rsidR="00822D81" w:rsidTr="00C74007">
        <w:tc>
          <w:tcPr>
            <w:tcW w:w="1145" w:type="dxa"/>
          </w:tcPr>
          <w:p w:rsidR="00822D81" w:rsidRDefault="00822D81" w:rsidP="00F8776E">
            <w:r>
              <w:t>P4</w:t>
            </w:r>
          </w:p>
        </w:tc>
        <w:tc>
          <w:tcPr>
            <w:tcW w:w="1147" w:type="dxa"/>
          </w:tcPr>
          <w:p w:rsidR="00822D81" w:rsidRDefault="00822D81" w:rsidP="00C74007">
            <w:r>
              <w:t>0,02</w:t>
            </w:r>
          </w:p>
        </w:tc>
        <w:tc>
          <w:tcPr>
            <w:tcW w:w="1148" w:type="dxa"/>
          </w:tcPr>
          <w:p w:rsidR="00822D81" w:rsidRDefault="00822D81" w:rsidP="00C74007">
            <w:r>
              <w:t>6</w:t>
            </w:r>
          </w:p>
        </w:tc>
        <w:tc>
          <w:tcPr>
            <w:tcW w:w="1148" w:type="dxa"/>
          </w:tcPr>
          <w:p w:rsidR="00822D81" w:rsidRDefault="00822D81" w:rsidP="00C74007">
            <w:r>
              <w:t>14,81</w:t>
            </w:r>
          </w:p>
        </w:tc>
        <w:tc>
          <w:tcPr>
            <w:tcW w:w="1147" w:type="dxa"/>
          </w:tcPr>
          <w:p w:rsidR="00822D81" w:rsidRDefault="00822D81" w:rsidP="00C74007">
            <w:r>
              <w:t>35,05</w:t>
            </w:r>
          </w:p>
        </w:tc>
        <w:tc>
          <w:tcPr>
            <w:tcW w:w="1151" w:type="dxa"/>
          </w:tcPr>
          <w:p w:rsidR="00822D81" w:rsidRDefault="00822D81" w:rsidP="00C74007">
            <w:r>
              <w:t>240</w:t>
            </w:r>
          </w:p>
        </w:tc>
        <w:tc>
          <w:tcPr>
            <w:tcW w:w="1255" w:type="dxa"/>
          </w:tcPr>
          <w:p w:rsidR="00822D81" w:rsidRDefault="00822D81" w:rsidP="00C74007">
            <w:r>
              <w:t>0,20</w:t>
            </w:r>
          </w:p>
        </w:tc>
        <w:tc>
          <w:tcPr>
            <w:tcW w:w="1147" w:type="dxa"/>
          </w:tcPr>
          <w:p w:rsidR="00822D81" w:rsidRDefault="00822D81" w:rsidP="00C74007">
            <w:r>
              <w:t>21</w:t>
            </w:r>
          </w:p>
        </w:tc>
      </w:tr>
      <w:tr w:rsidR="00822D81" w:rsidTr="00C74007">
        <w:tc>
          <w:tcPr>
            <w:tcW w:w="1145" w:type="dxa"/>
          </w:tcPr>
          <w:p w:rsidR="00822D81" w:rsidRDefault="00822D81" w:rsidP="00F8776E">
            <w:r>
              <w:t>P5</w:t>
            </w:r>
          </w:p>
        </w:tc>
        <w:tc>
          <w:tcPr>
            <w:tcW w:w="1147" w:type="dxa"/>
          </w:tcPr>
          <w:p w:rsidR="00822D81" w:rsidRDefault="00822D81" w:rsidP="00C74007">
            <w:r>
              <w:t>0,02</w:t>
            </w:r>
          </w:p>
        </w:tc>
        <w:tc>
          <w:tcPr>
            <w:tcW w:w="1148" w:type="dxa"/>
          </w:tcPr>
          <w:p w:rsidR="00822D81" w:rsidRDefault="00822D81" w:rsidP="00C74007">
            <w:r>
              <w:t>5</w:t>
            </w:r>
          </w:p>
        </w:tc>
        <w:tc>
          <w:tcPr>
            <w:tcW w:w="1148" w:type="dxa"/>
          </w:tcPr>
          <w:p w:rsidR="00822D81" w:rsidRDefault="00822D81" w:rsidP="00C74007">
            <w:r>
              <w:t>24,28</w:t>
            </w:r>
          </w:p>
        </w:tc>
        <w:tc>
          <w:tcPr>
            <w:tcW w:w="1147" w:type="dxa"/>
          </w:tcPr>
          <w:p w:rsidR="00822D81" w:rsidRDefault="00822D81" w:rsidP="00C74007">
            <w:r>
              <w:t>34,26</w:t>
            </w:r>
          </w:p>
        </w:tc>
        <w:tc>
          <w:tcPr>
            <w:tcW w:w="1151" w:type="dxa"/>
          </w:tcPr>
          <w:p w:rsidR="00822D81" w:rsidRDefault="00822D81" w:rsidP="00C74007">
            <w:r>
              <w:t>250</w:t>
            </w:r>
          </w:p>
        </w:tc>
        <w:tc>
          <w:tcPr>
            <w:tcW w:w="1255" w:type="dxa"/>
          </w:tcPr>
          <w:p w:rsidR="00822D81" w:rsidRDefault="00822D81" w:rsidP="00C74007">
            <w:r>
              <w:t>0,10</w:t>
            </w:r>
          </w:p>
        </w:tc>
        <w:tc>
          <w:tcPr>
            <w:tcW w:w="1147" w:type="dxa"/>
          </w:tcPr>
          <w:p w:rsidR="00822D81" w:rsidRDefault="00822D81" w:rsidP="00C74007">
            <w:r>
              <w:t>23</w:t>
            </w:r>
          </w:p>
        </w:tc>
      </w:tr>
    </w:tbl>
    <w:p w:rsidR="009512C9" w:rsidRDefault="009512C9" w:rsidP="00A6452B">
      <w:pPr>
        <w:autoSpaceDE w:val="0"/>
        <w:autoSpaceDN w:val="0"/>
        <w:adjustRightInd w:val="0"/>
        <w:spacing w:after="0" w:line="240" w:lineRule="auto"/>
        <w:jc w:val="both"/>
        <w:rPr>
          <w:rFonts w:asciiTheme="majorBidi" w:hAnsiTheme="majorBidi" w:cstheme="majorBidi"/>
          <w:b/>
          <w:bCs/>
        </w:rPr>
      </w:pPr>
    </w:p>
    <w:p w:rsidR="00A6452B" w:rsidRPr="00A6452B" w:rsidRDefault="009512C9" w:rsidP="00A9321D">
      <w:pPr>
        <w:spacing w:after="0" w:line="240" w:lineRule="auto"/>
        <w:jc w:val="both"/>
        <w:rPr>
          <w:rFonts w:asciiTheme="majorBidi" w:hAnsiTheme="majorBidi" w:cstheme="majorBidi"/>
        </w:rPr>
      </w:pPr>
      <w:r w:rsidRPr="009512C9">
        <w:rPr>
          <w:rFonts w:asciiTheme="majorBidi" w:hAnsiTheme="majorBidi" w:cstheme="majorBidi"/>
        </w:rPr>
        <w:t>D</w:t>
      </w:r>
      <w:r>
        <w:rPr>
          <w:rFonts w:asciiTheme="majorBidi" w:hAnsiTheme="majorBidi" w:cstheme="majorBidi"/>
        </w:rPr>
        <w:t xml:space="preserve">’après </w:t>
      </w:r>
      <w:r w:rsidR="00E9417F">
        <w:rPr>
          <w:rFonts w:asciiTheme="majorBidi" w:hAnsiTheme="majorBidi" w:cstheme="majorBidi"/>
        </w:rPr>
        <w:t>l</w:t>
      </w:r>
      <w:r>
        <w:rPr>
          <w:rFonts w:asciiTheme="majorBidi" w:hAnsiTheme="majorBidi" w:cstheme="majorBidi"/>
        </w:rPr>
        <w:t>es résultats</w:t>
      </w:r>
      <w:r w:rsidR="00030D6F">
        <w:rPr>
          <w:rFonts w:asciiTheme="majorBidi" w:hAnsiTheme="majorBidi" w:cstheme="majorBidi"/>
        </w:rPr>
        <w:t xml:space="preserve"> obtenus</w:t>
      </w:r>
      <w:r>
        <w:rPr>
          <w:rFonts w:asciiTheme="majorBidi" w:hAnsiTheme="majorBidi" w:cstheme="majorBidi"/>
        </w:rPr>
        <w:t xml:space="preserve"> </w:t>
      </w:r>
      <w:r w:rsidRPr="009512C9">
        <w:rPr>
          <w:rFonts w:asciiTheme="majorBidi" w:hAnsiTheme="majorBidi" w:cstheme="majorBidi"/>
        </w:rPr>
        <w:t>l</w:t>
      </w:r>
      <w:r w:rsidR="00A6452B" w:rsidRPr="009512C9">
        <w:rPr>
          <w:rFonts w:asciiTheme="majorBidi" w:hAnsiTheme="majorBidi" w:cstheme="majorBidi"/>
        </w:rPr>
        <w:t>a</w:t>
      </w:r>
      <w:r w:rsidR="00A6452B" w:rsidRPr="00A6452B">
        <w:rPr>
          <w:rFonts w:asciiTheme="majorBidi" w:hAnsiTheme="majorBidi" w:cstheme="majorBidi"/>
        </w:rPr>
        <w:t xml:space="preserve"> pollution d'origine agrosylvopastorale, favorisée par l'augmentation d</w:t>
      </w:r>
      <w:r w:rsidR="000B22D6">
        <w:rPr>
          <w:rFonts w:asciiTheme="majorBidi" w:hAnsiTheme="majorBidi" w:cstheme="majorBidi"/>
        </w:rPr>
        <w:t xml:space="preserve">es terres agricoles, du cheptel </w:t>
      </w:r>
      <w:r w:rsidR="00A6452B" w:rsidRPr="00A6452B">
        <w:rPr>
          <w:rFonts w:asciiTheme="majorBidi" w:hAnsiTheme="majorBidi" w:cstheme="majorBidi"/>
        </w:rPr>
        <w:t xml:space="preserve">et les aménagements forestiers. </w:t>
      </w:r>
    </w:p>
    <w:p w:rsidR="00A9321D" w:rsidRDefault="00A6452B" w:rsidP="00A9321D">
      <w:pPr>
        <w:spacing w:after="0" w:line="240" w:lineRule="auto"/>
        <w:jc w:val="both"/>
        <w:rPr>
          <w:rFonts w:asciiTheme="majorBidi" w:hAnsiTheme="majorBidi" w:cstheme="majorBidi"/>
        </w:rPr>
      </w:pPr>
      <w:r w:rsidRPr="00A6452B">
        <w:rPr>
          <w:rFonts w:asciiTheme="majorBidi" w:hAnsiTheme="majorBidi" w:cstheme="majorBidi"/>
        </w:rPr>
        <w:t xml:space="preserve">Une forte croissance démographique accompagnée d'une action anthropique sur l'ensemble du bassin versant du Tonga, traduite sur le territoire par une vague de transformations au niveau de l'occupation de l'espace du bassin versant. </w:t>
      </w:r>
    </w:p>
    <w:p w:rsidR="00A9321D" w:rsidRDefault="00A9321D" w:rsidP="00A9321D">
      <w:pPr>
        <w:spacing w:after="0" w:line="240" w:lineRule="auto"/>
        <w:jc w:val="both"/>
        <w:rPr>
          <w:rFonts w:asciiTheme="majorBidi" w:hAnsiTheme="majorBidi" w:cstheme="majorBidi"/>
        </w:rPr>
      </w:pPr>
      <w:r>
        <w:rPr>
          <w:rFonts w:asciiTheme="majorBidi" w:hAnsiTheme="majorBidi" w:cstheme="majorBidi"/>
        </w:rPr>
        <w:t>ses analyses physico-chimiques on observe que les eaux de  lac Tonga sont des eaux potables mais après un léger traitement.</w:t>
      </w:r>
    </w:p>
    <w:p w:rsidR="00A9321D" w:rsidRDefault="00A9321D" w:rsidP="00A9321D">
      <w:pPr>
        <w:spacing w:after="0"/>
        <w:rPr>
          <w:rFonts w:asciiTheme="majorBidi" w:hAnsiTheme="majorBidi" w:cstheme="majorBidi"/>
        </w:rPr>
      </w:pPr>
    </w:p>
    <w:p w:rsidR="00A9321D" w:rsidRDefault="00A9321D" w:rsidP="00A9321D">
      <w:pPr>
        <w:spacing w:after="0"/>
        <w:rPr>
          <w:rFonts w:asciiTheme="majorBidi" w:hAnsiTheme="majorBidi" w:cstheme="majorBidi"/>
          <w:b/>
          <w:bCs/>
        </w:rPr>
      </w:pPr>
    </w:p>
    <w:p w:rsidR="00A9321D" w:rsidRDefault="00A9321D" w:rsidP="00A9321D">
      <w:pPr>
        <w:spacing w:after="0"/>
        <w:rPr>
          <w:rFonts w:asciiTheme="majorBidi" w:hAnsiTheme="majorBidi" w:cstheme="majorBidi"/>
          <w:b/>
          <w:bCs/>
        </w:rPr>
      </w:pPr>
    </w:p>
    <w:p w:rsidR="00A9321D" w:rsidRDefault="00A9321D" w:rsidP="00A9321D">
      <w:pPr>
        <w:spacing w:after="0"/>
        <w:rPr>
          <w:rFonts w:asciiTheme="majorBidi" w:hAnsiTheme="majorBidi" w:cstheme="majorBidi"/>
          <w:b/>
          <w:bCs/>
        </w:rPr>
      </w:pPr>
    </w:p>
    <w:p w:rsidR="00A9321D" w:rsidRDefault="00A9321D" w:rsidP="00A9321D">
      <w:pPr>
        <w:spacing w:after="0"/>
        <w:rPr>
          <w:rFonts w:asciiTheme="majorBidi" w:hAnsiTheme="majorBidi" w:cstheme="majorBidi"/>
          <w:b/>
          <w:bCs/>
        </w:rPr>
      </w:pPr>
    </w:p>
    <w:p w:rsidR="00A9321D" w:rsidRDefault="00A9321D" w:rsidP="00A9321D">
      <w:pPr>
        <w:spacing w:after="0"/>
        <w:rPr>
          <w:rFonts w:asciiTheme="majorBidi" w:hAnsiTheme="majorBidi" w:cstheme="majorBidi"/>
          <w:b/>
          <w:bCs/>
        </w:rPr>
      </w:pPr>
    </w:p>
    <w:p w:rsidR="00A9321D" w:rsidRDefault="00A9321D" w:rsidP="00A9321D">
      <w:pPr>
        <w:spacing w:after="0"/>
        <w:rPr>
          <w:rFonts w:asciiTheme="majorBidi" w:hAnsiTheme="majorBidi" w:cstheme="majorBidi"/>
          <w:b/>
          <w:bCs/>
        </w:rPr>
      </w:pPr>
    </w:p>
    <w:p w:rsidR="006273FA" w:rsidRDefault="00260DFD" w:rsidP="00A9321D">
      <w:pPr>
        <w:spacing w:after="0"/>
        <w:rPr>
          <w:rFonts w:asciiTheme="majorBidi" w:hAnsiTheme="majorBidi" w:cstheme="majorBidi"/>
          <w:b/>
          <w:bCs/>
        </w:rPr>
      </w:pPr>
      <w:r>
        <w:rPr>
          <w:rFonts w:asciiTheme="majorBidi" w:hAnsiTheme="majorBidi" w:cstheme="majorBidi"/>
          <w:b/>
          <w:bCs/>
        </w:rPr>
        <w:t xml:space="preserve">4. </w:t>
      </w:r>
      <w:r w:rsidR="006273FA" w:rsidRPr="00260DFD">
        <w:rPr>
          <w:rFonts w:asciiTheme="majorBidi" w:hAnsiTheme="majorBidi" w:cstheme="majorBidi"/>
          <w:b/>
          <w:bCs/>
        </w:rPr>
        <w:t xml:space="preserve">Discussion : </w:t>
      </w:r>
    </w:p>
    <w:p w:rsidR="00A9321D" w:rsidRDefault="00A9321D" w:rsidP="00A9321D">
      <w:pPr>
        <w:spacing w:after="0"/>
        <w:rPr>
          <w:rFonts w:asciiTheme="majorBidi" w:hAnsiTheme="majorBidi" w:cstheme="majorBidi"/>
          <w:b/>
          <w:bCs/>
        </w:rPr>
      </w:pPr>
    </w:p>
    <w:p w:rsidR="00CD0EB9" w:rsidRPr="00CD0EB9" w:rsidRDefault="00CD0EB9" w:rsidP="00CD0EB9">
      <w:pPr>
        <w:pStyle w:val="Default"/>
        <w:jc w:val="both"/>
        <w:rPr>
          <w:rFonts w:asciiTheme="majorBidi" w:hAnsiTheme="majorBidi" w:cstheme="majorBidi"/>
          <w:sz w:val="22"/>
          <w:szCs w:val="22"/>
        </w:rPr>
      </w:pPr>
      <w:r w:rsidRPr="00CD0EB9">
        <w:rPr>
          <w:rFonts w:asciiTheme="majorBidi" w:hAnsiTheme="majorBidi" w:cstheme="majorBidi"/>
          <w:sz w:val="22"/>
          <w:szCs w:val="22"/>
        </w:rPr>
        <w:t xml:space="preserve"> Le lac Tonga comme toute autre zone humide semblable, constitue un milieu spécifique en matière de gestion des ressources naturelles et de conservation, de par la fragilité et la richesse de ce milieu entre terre, eau et mer et d’autre par l'irrégularité des flux et la saisonnalité très marquées (entre inondation et assèchement). L'eau à tout point de vue, a façonné toute la région du Tonga et ses milieux naturels. Toutefois, elles n'échappent pas aux conditions méditerranéennes globales. Les plus marquantes sont la grande variation selon l'alternance des périodes sèches et humides dans la répartition et la variabilité du recouvrement végétal à la surface du lac</w:t>
      </w:r>
      <w:r w:rsidR="00E9417F">
        <w:rPr>
          <w:rFonts w:asciiTheme="majorBidi" w:hAnsiTheme="majorBidi" w:cstheme="majorBidi"/>
          <w:sz w:val="22"/>
          <w:szCs w:val="22"/>
        </w:rPr>
        <w:t>.</w:t>
      </w:r>
      <w:r w:rsidRPr="00CD0EB9">
        <w:rPr>
          <w:rFonts w:asciiTheme="majorBidi" w:hAnsiTheme="majorBidi" w:cstheme="majorBidi"/>
          <w:sz w:val="22"/>
          <w:szCs w:val="22"/>
        </w:rPr>
        <w:t xml:space="preserve"> </w:t>
      </w:r>
    </w:p>
    <w:p w:rsidR="00E9417F" w:rsidRDefault="00E9417F" w:rsidP="00260DFD">
      <w:pPr>
        <w:rPr>
          <w:rFonts w:asciiTheme="majorBidi" w:hAnsiTheme="majorBidi" w:cstheme="majorBidi"/>
        </w:rPr>
      </w:pPr>
    </w:p>
    <w:p w:rsidR="006273FA" w:rsidRDefault="00260DFD" w:rsidP="00260DFD">
      <w:pPr>
        <w:rPr>
          <w:rFonts w:asciiTheme="majorBidi" w:hAnsiTheme="majorBidi" w:cstheme="majorBidi"/>
          <w:b/>
          <w:bCs/>
        </w:rPr>
      </w:pPr>
      <w:r>
        <w:rPr>
          <w:rFonts w:asciiTheme="majorBidi" w:hAnsiTheme="majorBidi" w:cstheme="majorBidi"/>
          <w:b/>
          <w:bCs/>
        </w:rPr>
        <w:t xml:space="preserve">5. </w:t>
      </w:r>
      <w:r w:rsidR="006273FA" w:rsidRPr="00260DFD">
        <w:rPr>
          <w:rFonts w:asciiTheme="majorBidi" w:hAnsiTheme="majorBidi" w:cstheme="majorBidi"/>
          <w:b/>
          <w:bCs/>
        </w:rPr>
        <w:t xml:space="preserve">Conclusion : </w:t>
      </w:r>
    </w:p>
    <w:p w:rsidR="00030D6F" w:rsidRDefault="00076AC5" w:rsidP="00076AC5">
      <w:pPr>
        <w:pStyle w:val="Default"/>
        <w:jc w:val="both"/>
        <w:rPr>
          <w:sz w:val="22"/>
          <w:szCs w:val="22"/>
        </w:rPr>
      </w:pPr>
      <w:r w:rsidRPr="00076AC5">
        <w:rPr>
          <w:sz w:val="22"/>
          <w:szCs w:val="22"/>
        </w:rPr>
        <w:t>On conclusion, que cette étude s'achève sur la mise en évidence de l'importance de la gestion intégrée par bassin versant des ressources en eau sur le territoire du parc. Il est par ailleurs important que l’administration du parc occupe le terrain de façon rationnelle afin d’être constamment présente sur l’intégralité du territoire, non seulement dans un but de surveillance mais également de plus grande proximité avec la population en termes d’actions de développement et donc de plus grande implication des habitants dans le territoire du parc.</w:t>
      </w:r>
    </w:p>
    <w:p w:rsidR="00030D6F" w:rsidRDefault="00030D6F" w:rsidP="00076AC5">
      <w:pPr>
        <w:pStyle w:val="Default"/>
        <w:jc w:val="both"/>
        <w:rPr>
          <w:sz w:val="22"/>
          <w:szCs w:val="22"/>
        </w:rPr>
      </w:pPr>
    </w:p>
    <w:p w:rsidR="00030D6F" w:rsidRDefault="00076AC5" w:rsidP="00030D6F">
      <w:pPr>
        <w:autoSpaceDE w:val="0"/>
        <w:autoSpaceDN w:val="0"/>
        <w:adjustRightInd w:val="0"/>
        <w:spacing w:after="0" w:line="240" w:lineRule="auto"/>
        <w:jc w:val="both"/>
        <w:rPr>
          <w:rFonts w:asciiTheme="majorBidi" w:hAnsiTheme="majorBidi" w:cstheme="majorBidi"/>
        </w:rPr>
      </w:pPr>
      <w:r w:rsidRPr="00076AC5">
        <w:t xml:space="preserve"> </w:t>
      </w:r>
      <w:r w:rsidR="00030D6F" w:rsidRPr="007E5A79">
        <w:rPr>
          <w:rFonts w:asciiTheme="majorBidi" w:hAnsiTheme="majorBidi" w:cstheme="majorBidi"/>
        </w:rPr>
        <w:t xml:space="preserve">Ce mode de gestion s'est répercuté négativement sur le fonctionnement hydrologique du lac Tonga, qui est aujourd'hui menacé de disparition par effet de synergie de plusieurs processus, tel que l'atterrissement, l'eutrophisation, la perte d'écosystèmes forestiers et des zones humides, et la dévalorisation des habitats d'espèces typiques et très rares, notamment l'avifaune aquatique. </w:t>
      </w:r>
    </w:p>
    <w:p w:rsidR="00076AC5" w:rsidRPr="00076AC5" w:rsidRDefault="00076AC5" w:rsidP="00076AC5">
      <w:pPr>
        <w:pStyle w:val="Default"/>
        <w:jc w:val="both"/>
        <w:rPr>
          <w:sz w:val="22"/>
          <w:szCs w:val="22"/>
        </w:rPr>
      </w:pPr>
    </w:p>
    <w:p w:rsidR="006273FA" w:rsidRDefault="006273FA" w:rsidP="00076AC5">
      <w:pPr>
        <w:rPr>
          <w:rFonts w:asciiTheme="majorBidi" w:hAnsiTheme="majorBidi" w:cstheme="majorBidi"/>
        </w:rPr>
      </w:pPr>
      <w:r w:rsidRPr="00610061">
        <w:rPr>
          <w:rFonts w:asciiTheme="majorBidi" w:hAnsiTheme="majorBidi" w:cstheme="majorBidi"/>
          <w:b/>
          <w:bCs/>
        </w:rPr>
        <w:t>Référence</w:t>
      </w:r>
      <w:r w:rsidRPr="00610061">
        <w:rPr>
          <w:rFonts w:asciiTheme="majorBidi" w:hAnsiTheme="majorBidi" w:cstheme="majorBidi"/>
        </w:rPr>
        <w:t xml:space="preserve"> : </w:t>
      </w:r>
    </w:p>
    <w:p w:rsidR="00030D6F" w:rsidRPr="00030D6F" w:rsidRDefault="00030D6F" w:rsidP="00030D6F">
      <w:pPr>
        <w:pStyle w:val="Default"/>
        <w:rPr>
          <w:sz w:val="23"/>
          <w:szCs w:val="23"/>
        </w:rPr>
      </w:pPr>
      <w:r w:rsidRPr="009C58DF">
        <w:rPr>
          <w:b/>
          <w:bCs/>
          <w:sz w:val="20"/>
          <w:szCs w:val="20"/>
        </w:rPr>
        <w:lastRenderedPageBreak/>
        <w:t>ABDELOUAHAB LEFKIR, ABDELMALEK BERMAD</w:t>
      </w:r>
      <w:r>
        <w:rPr>
          <w:sz w:val="20"/>
          <w:szCs w:val="20"/>
        </w:rPr>
        <w:t xml:space="preserve">, </w:t>
      </w:r>
      <w:r w:rsidRPr="00030D6F">
        <w:rPr>
          <w:sz w:val="22"/>
          <w:szCs w:val="22"/>
        </w:rPr>
        <w:t>Analyse thématique des ressources hydriques dans une zone</w:t>
      </w:r>
      <w:r>
        <w:rPr>
          <w:sz w:val="22"/>
          <w:szCs w:val="22"/>
        </w:rPr>
        <w:t xml:space="preserve"> </w:t>
      </w:r>
      <w:r w:rsidRPr="00030D6F">
        <w:rPr>
          <w:sz w:val="22"/>
          <w:szCs w:val="22"/>
        </w:rPr>
        <w:t>semi-aride : Cas de la willaya de Bechar (Algérie)</w:t>
      </w:r>
    </w:p>
    <w:p w:rsidR="00076AC5" w:rsidRPr="00030D6F" w:rsidRDefault="00076AC5" w:rsidP="00076AC5">
      <w:pPr>
        <w:pStyle w:val="Default"/>
        <w:rPr>
          <w:sz w:val="22"/>
          <w:szCs w:val="22"/>
        </w:rPr>
      </w:pPr>
      <w:r w:rsidRPr="009C58DF">
        <w:rPr>
          <w:b/>
          <w:bCs/>
          <w:sz w:val="22"/>
          <w:szCs w:val="22"/>
        </w:rPr>
        <w:t>MOHAMED LAMINE RAACHI (2007)</w:t>
      </w:r>
      <w:r w:rsidRPr="00030D6F">
        <w:rPr>
          <w:sz w:val="22"/>
          <w:szCs w:val="22"/>
        </w:rPr>
        <w:t xml:space="preserve">, Étude préalable pour une gestion intégrée des ressources du bassin versant du lac tonga au Nord-Est Algérien, université du Québec à Montréal, p 13, p 22, 24. </w:t>
      </w:r>
    </w:p>
    <w:p w:rsidR="009C58DF" w:rsidRPr="009C58DF" w:rsidRDefault="009C58DF" w:rsidP="009C58DF">
      <w:pPr>
        <w:pStyle w:val="Default"/>
        <w:rPr>
          <w:rFonts w:eastAsia="Calibri"/>
          <w:sz w:val="22"/>
          <w:szCs w:val="22"/>
        </w:rPr>
      </w:pPr>
      <w:r w:rsidRPr="009C58DF">
        <w:rPr>
          <w:rFonts w:eastAsia="Calibri"/>
          <w:b/>
          <w:bCs/>
          <w:sz w:val="22"/>
          <w:szCs w:val="22"/>
        </w:rPr>
        <w:t xml:space="preserve">Mr Bentouili Med Yassine </w:t>
      </w:r>
      <w:r w:rsidRPr="009C58DF">
        <w:rPr>
          <w:b/>
          <w:bCs/>
          <w:sz w:val="22"/>
          <w:szCs w:val="22"/>
        </w:rPr>
        <w:t>(2007),</w:t>
      </w:r>
      <w:r>
        <w:rPr>
          <w:sz w:val="22"/>
          <w:szCs w:val="22"/>
        </w:rPr>
        <w:t xml:space="preserve"> </w:t>
      </w:r>
      <w:r w:rsidRPr="009C58DF">
        <w:rPr>
          <w:rFonts w:eastAsia="Calibri"/>
          <w:sz w:val="22"/>
          <w:szCs w:val="22"/>
        </w:rPr>
        <w:t>Inventaire et Qualité des Eaux des Sources du Parc National d’El Kala</w:t>
      </w:r>
      <w:r>
        <w:rPr>
          <w:sz w:val="22"/>
          <w:szCs w:val="22"/>
        </w:rPr>
        <w:t xml:space="preserve"> </w:t>
      </w:r>
      <w:r w:rsidRPr="009C58DF">
        <w:rPr>
          <w:rFonts w:eastAsia="Calibri"/>
          <w:sz w:val="22"/>
          <w:szCs w:val="22"/>
        </w:rPr>
        <w:t>(N.Est algérien).</w:t>
      </w:r>
    </w:p>
    <w:p w:rsidR="0022775C" w:rsidRPr="0022775C" w:rsidRDefault="0022775C" w:rsidP="001E6F4F">
      <w:pPr>
        <w:rPr>
          <w:rFonts w:asciiTheme="majorBidi" w:hAnsiTheme="majorBidi" w:cstheme="majorBidi"/>
        </w:rPr>
      </w:pPr>
    </w:p>
    <w:sectPr w:rsidR="0022775C" w:rsidRPr="0022775C" w:rsidSect="0018530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C2B" w:rsidRDefault="006F2C2B" w:rsidP="009512C9">
      <w:pPr>
        <w:spacing w:after="0" w:line="240" w:lineRule="auto"/>
      </w:pPr>
      <w:r>
        <w:separator/>
      </w:r>
    </w:p>
  </w:endnote>
  <w:endnote w:type="continuationSeparator" w:id="1">
    <w:p w:rsidR="006F2C2B" w:rsidRDefault="006F2C2B" w:rsidP="00951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09658"/>
      <w:docPartObj>
        <w:docPartGallery w:val="Page Numbers (Bottom of Page)"/>
        <w:docPartUnique/>
      </w:docPartObj>
    </w:sdtPr>
    <w:sdtContent>
      <w:p w:rsidR="009512C9" w:rsidRDefault="00B95FD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9512C9" w:rsidRDefault="00B95FDC">
                    <w:pPr>
                      <w:jc w:val="center"/>
                    </w:pPr>
                    <w:fldSimple w:instr=" PAGE    \* MERGEFORMAT ">
                      <w:r w:rsidR="007F7B72" w:rsidRPr="007F7B72">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C2B" w:rsidRDefault="006F2C2B" w:rsidP="009512C9">
      <w:pPr>
        <w:spacing w:after="0" w:line="240" w:lineRule="auto"/>
      </w:pPr>
      <w:r>
        <w:separator/>
      </w:r>
    </w:p>
  </w:footnote>
  <w:footnote w:type="continuationSeparator" w:id="1">
    <w:p w:rsidR="006F2C2B" w:rsidRDefault="006F2C2B" w:rsidP="00951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D4D72"/>
    <w:multiLevelType w:val="hybridMultilevel"/>
    <w:tmpl w:val="308A9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F72C80"/>
    <w:multiLevelType w:val="hybridMultilevel"/>
    <w:tmpl w:val="01C05F2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0508E"/>
    <w:rsid w:val="00027EFA"/>
    <w:rsid w:val="00030D6F"/>
    <w:rsid w:val="00043E9E"/>
    <w:rsid w:val="00076AC5"/>
    <w:rsid w:val="000B22D6"/>
    <w:rsid w:val="001029C5"/>
    <w:rsid w:val="00113EDD"/>
    <w:rsid w:val="001345E0"/>
    <w:rsid w:val="00185302"/>
    <w:rsid w:val="001E6F4F"/>
    <w:rsid w:val="001F1EE4"/>
    <w:rsid w:val="00203F7A"/>
    <w:rsid w:val="00213E82"/>
    <w:rsid w:val="0022775C"/>
    <w:rsid w:val="00260DFD"/>
    <w:rsid w:val="00284652"/>
    <w:rsid w:val="002A6E03"/>
    <w:rsid w:val="00354061"/>
    <w:rsid w:val="003E5511"/>
    <w:rsid w:val="003F0A4D"/>
    <w:rsid w:val="004640AD"/>
    <w:rsid w:val="00474C28"/>
    <w:rsid w:val="004C1F2D"/>
    <w:rsid w:val="005730DE"/>
    <w:rsid w:val="005A65FB"/>
    <w:rsid w:val="005C4E8A"/>
    <w:rsid w:val="00610061"/>
    <w:rsid w:val="006273FA"/>
    <w:rsid w:val="00673DD5"/>
    <w:rsid w:val="006749ED"/>
    <w:rsid w:val="00677B70"/>
    <w:rsid w:val="006F2C2B"/>
    <w:rsid w:val="00722C4A"/>
    <w:rsid w:val="007E4B30"/>
    <w:rsid w:val="007E5A79"/>
    <w:rsid w:val="007F7B72"/>
    <w:rsid w:val="0080508E"/>
    <w:rsid w:val="0080677D"/>
    <w:rsid w:val="00822D81"/>
    <w:rsid w:val="00825388"/>
    <w:rsid w:val="00851C55"/>
    <w:rsid w:val="008A634B"/>
    <w:rsid w:val="008D58D5"/>
    <w:rsid w:val="00932ADD"/>
    <w:rsid w:val="009512C9"/>
    <w:rsid w:val="009C58DF"/>
    <w:rsid w:val="00A6452B"/>
    <w:rsid w:val="00A9321D"/>
    <w:rsid w:val="00B4204F"/>
    <w:rsid w:val="00B95FDC"/>
    <w:rsid w:val="00BB5044"/>
    <w:rsid w:val="00C55C8D"/>
    <w:rsid w:val="00CD0EB9"/>
    <w:rsid w:val="00CE3752"/>
    <w:rsid w:val="00D74465"/>
    <w:rsid w:val="00D86FE1"/>
    <w:rsid w:val="00DE5748"/>
    <w:rsid w:val="00E720C4"/>
    <w:rsid w:val="00E85491"/>
    <w:rsid w:val="00E9417F"/>
    <w:rsid w:val="00F8776E"/>
    <w:rsid w:val="00FE5E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4061"/>
    <w:rPr>
      <w:color w:val="0000FF"/>
      <w:u w:val="single"/>
    </w:rPr>
  </w:style>
  <w:style w:type="paragraph" w:customStyle="1" w:styleId="Default">
    <w:name w:val="Default"/>
    <w:rsid w:val="001E6F4F"/>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6273FA"/>
    <w:pPr>
      <w:ind w:left="720"/>
      <w:contextualSpacing/>
    </w:pPr>
  </w:style>
  <w:style w:type="paragraph" w:styleId="Textedebulles">
    <w:name w:val="Balloon Text"/>
    <w:basedOn w:val="Normal"/>
    <w:link w:val="TextedebullesCar"/>
    <w:uiPriority w:val="99"/>
    <w:semiHidden/>
    <w:unhideWhenUsed/>
    <w:rsid w:val="00E854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491"/>
    <w:rPr>
      <w:rFonts w:ascii="Tahoma" w:hAnsi="Tahoma" w:cs="Tahoma"/>
      <w:sz w:val="16"/>
      <w:szCs w:val="16"/>
    </w:rPr>
  </w:style>
  <w:style w:type="table" w:styleId="Grilledutableau">
    <w:name w:val="Table Grid"/>
    <w:basedOn w:val="TableauNormal"/>
    <w:uiPriority w:val="59"/>
    <w:rsid w:val="0082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512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12C9"/>
  </w:style>
  <w:style w:type="paragraph" w:styleId="Pieddepage">
    <w:name w:val="footer"/>
    <w:basedOn w:val="Normal"/>
    <w:link w:val="PieddepageCar"/>
    <w:uiPriority w:val="99"/>
    <w:semiHidden/>
    <w:unhideWhenUsed/>
    <w:rsid w:val="009512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12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uinid@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006D5-1DF5-4660-A69F-AC07DE16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6284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IRD Montpellier</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Mahe</cp:lastModifiedBy>
  <cp:revision>3</cp:revision>
  <dcterms:created xsi:type="dcterms:W3CDTF">2015-04-01T16:08:00Z</dcterms:created>
  <dcterms:modified xsi:type="dcterms:W3CDTF">2015-05-17T00:53:00Z</dcterms:modified>
</cp:coreProperties>
</file>