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9D" w:rsidRPr="00DA09B6" w:rsidRDefault="00CD219D" w:rsidP="00B56D34">
      <w:pPr>
        <w:pStyle w:val="paragraphesimple"/>
        <w:spacing w:after="60"/>
        <w:jc w:val="center"/>
        <w:rPr>
          <w:rFonts w:ascii="Times New Roman" w:hAnsi="Times New Roman"/>
          <w:b/>
        </w:rPr>
      </w:pPr>
      <w:r w:rsidRPr="00DA09B6">
        <w:rPr>
          <w:rFonts w:ascii="Times New Roman" w:hAnsi="Times New Roman"/>
          <w:b/>
        </w:rPr>
        <w:t>Conférence Internationale sur l’hydrologie des grands bassins Africains</w:t>
      </w:r>
      <w:r w:rsidR="00B56D34" w:rsidRPr="00DA09B6">
        <w:rPr>
          <w:rFonts w:ascii="Times New Roman" w:hAnsi="Times New Roman"/>
          <w:b/>
        </w:rPr>
        <w:t xml:space="preserve"> </w:t>
      </w:r>
    </w:p>
    <w:p w:rsidR="00B56D34" w:rsidRPr="00DA09B6" w:rsidRDefault="00CD219D" w:rsidP="00B56D34">
      <w:pPr>
        <w:pStyle w:val="paragraphesimple"/>
        <w:spacing w:after="60"/>
        <w:jc w:val="center"/>
        <w:rPr>
          <w:rFonts w:ascii="Times New Roman" w:hAnsi="Times New Roman"/>
          <w:b/>
        </w:rPr>
      </w:pPr>
      <w:r w:rsidRPr="00DA09B6">
        <w:rPr>
          <w:rFonts w:ascii="Times New Roman" w:hAnsi="Times New Roman"/>
          <w:b/>
        </w:rPr>
        <w:t>Hammamet</w:t>
      </w:r>
      <w:r w:rsidR="00B56D34" w:rsidRPr="00DA09B6">
        <w:rPr>
          <w:rFonts w:ascii="Times New Roman" w:hAnsi="Times New Roman"/>
          <w:b/>
        </w:rPr>
        <w:t>,</w:t>
      </w:r>
      <w:r w:rsidRPr="00DA09B6">
        <w:rPr>
          <w:rFonts w:ascii="Times New Roman" w:hAnsi="Times New Roman"/>
          <w:b/>
        </w:rPr>
        <w:t xml:space="preserve"> Tunisie</w:t>
      </w:r>
      <w:r w:rsidR="00B56D34" w:rsidRPr="00DA09B6">
        <w:rPr>
          <w:rFonts w:ascii="Times New Roman" w:hAnsi="Times New Roman"/>
          <w:b/>
        </w:rPr>
        <w:t xml:space="preserve"> </w:t>
      </w:r>
      <w:r w:rsidRPr="00DA09B6">
        <w:rPr>
          <w:rFonts w:ascii="Times New Roman" w:hAnsi="Times New Roman"/>
          <w:b/>
        </w:rPr>
        <w:t>26</w:t>
      </w:r>
      <w:r w:rsidR="00900D03" w:rsidRPr="00DA09B6">
        <w:rPr>
          <w:rFonts w:ascii="Times New Roman" w:hAnsi="Times New Roman"/>
          <w:b/>
        </w:rPr>
        <w:t>-</w:t>
      </w:r>
      <w:r w:rsidRPr="00DA09B6">
        <w:rPr>
          <w:rFonts w:ascii="Times New Roman" w:hAnsi="Times New Roman"/>
          <w:b/>
        </w:rPr>
        <w:t>30</w:t>
      </w:r>
      <w:r w:rsidR="00900D03" w:rsidRPr="00DA09B6">
        <w:rPr>
          <w:rFonts w:ascii="Times New Roman" w:hAnsi="Times New Roman"/>
          <w:b/>
        </w:rPr>
        <w:t xml:space="preserve"> </w:t>
      </w:r>
      <w:r w:rsidRPr="00DA09B6">
        <w:rPr>
          <w:rFonts w:ascii="Times New Roman" w:hAnsi="Times New Roman"/>
          <w:b/>
        </w:rPr>
        <w:t>Octobre</w:t>
      </w:r>
      <w:r w:rsidR="00B56D34" w:rsidRPr="00DA09B6">
        <w:rPr>
          <w:rFonts w:ascii="Times New Roman" w:hAnsi="Times New Roman"/>
          <w:b/>
        </w:rPr>
        <w:t xml:space="preserve"> 201</w:t>
      </w:r>
      <w:r w:rsidRPr="00DA09B6">
        <w:rPr>
          <w:rFonts w:ascii="Times New Roman" w:hAnsi="Times New Roman"/>
          <w:b/>
        </w:rPr>
        <w:t>5</w:t>
      </w:r>
    </w:p>
    <w:p w:rsidR="00CD219D" w:rsidRPr="00DA09B6" w:rsidRDefault="00CD219D" w:rsidP="00B56D34">
      <w:pPr>
        <w:pStyle w:val="paragraphesimple"/>
        <w:spacing w:after="480"/>
        <w:jc w:val="center"/>
        <w:rPr>
          <w:rFonts w:ascii="Times New Roman" w:hAnsi="Times New Roman"/>
          <w:b/>
        </w:rPr>
      </w:pPr>
    </w:p>
    <w:p w:rsidR="00B56D34" w:rsidRPr="00DA09B6" w:rsidRDefault="00CD219D" w:rsidP="005D479A">
      <w:pPr>
        <w:pStyle w:val="paragraphesimple"/>
        <w:spacing w:after="480"/>
        <w:jc w:val="left"/>
        <w:rPr>
          <w:rFonts w:ascii="Times New Roman" w:hAnsi="Times New Roman"/>
          <w:b/>
        </w:rPr>
      </w:pPr>
      <w:r w:rsidRPr="00DA09B6">
        <w:rPr>
          <w:rFonts w:ascii="Times New Roman" w:hAnsi="Times New Roman"/>
          <w:b/>
        </w:rPr>
        <w:t>Etat et perspectives d’aménagement du bassin du Sassandra en Côte d’Ivoire</w:t>
      </w:r>
    </w:p>
    <w:p w:rsidR="00B56D34" w:rsidRPr="00DA09B6" w:rsidRDefault="00500D52" w:rsidP="00B56D34">
      <w:pPr>
        <w:pStyle w:val="paragraphesimple"/>
        <w:spacing w:after="60"/>
        <w:jc w:val="left"/>
        <w:rPr>
          <w:rFonts w:ascii="Times New Roman" w:hAnsi="Times New Roman"/>
          <w:b/>
        </w:rPr>
      </w:pPr>
      <w:r w:rsidRPr="00DA09B6">
        <w:rPr>
          <w:rFonts w:ascii="Times New Roman" w:hAnsi="Times New Roman"/>
          <w:b/>
        </w:rPr>
        <w:t>Pierre-Yves BOURGIN</w:t>
      </w:r>
      <w:r w:rsidR="005D479A" w:rsidRPr="00DA09B6">
        <w:rPr>
          <w:rFonts w:ascii="Times New Roman" w:hAnsi="Times New Roman"/>
          <w:b/>
          <w:vertAlign w:val="superscript"/>
        </w:rPr>
        <w:t>1</w:t>
      </w:r>
      <w:r w:rsidR="00CD219D" w:rsidRPr="00DA09B6">
        <w:rPr>
          <w:rFonts w:ascii="Times New Roman" w:hAnsi="Times New Roman"/>
          <w:b/>
        </w:rPr>
        <w:t>,</w:t>
      </w:r>
      <w:r w:rsidR="00813B63" w:rsidRPr="00DA09B6">
        <w:rPr>
          <w:rFonts w:ascii="Times New Roman" w:hAnsi="Times New Roman"/>
          <w:b/>
        </w:rPr>
        <w:t xml:space="preserve"> Marine </w:t>
      </w:r>
      <w:r w:rsidRPr="00DA09B6">
        <w:rPr>
          <w:rFonts w:ascii="Times New Roman" w:hAnsi="Times New Roman"/>
          <w:b/>
        </w:rPr>
        <w:t>RIFFARD-CHENET</w:t>
      </w:r>
      <w:r w:rsidR="005D479A" w:rsidRPr="00DA09B6">
        <w:rPr>
          <w:rFonts w:ascii="Times New Roman" w:hAnsi="Times New Roman"/>
          <w:b/>
          <w:vertAlign w:val="superscript"/>
        </w:rPr>
        <w:t>1</w:t>
      </w:r>
    </w:p>
    <w:p w:rsidR="00500D52" w:rsidRPr="00DA09B6" w:rsidRDefault="00500D52" w:rsidP="00500D52">
      <w:pPr>
        <w:pStyle w:val="paragraphesimple"/>
        <w:spacing w:after="60"/>
        <w:jc w:val="left"/>
        <w:rPr>
          <w:rFonts w:ascii="Times New Roman" w:hAnsi="Times New Roman"/>
        </w:rPr>
      </w:pPr>
    </w:p>
    <w:p w:rsidR="00B56D34" w:rsidRPr="00DA09B6" w:rsidRDefault="005D479A" w:rsidP="00500D52">
      <w:pPr>
        <w:pStyle w:val="paragraphesimple"/>
        <w:spacing w:after="60"/>
        <w:jc w:val="left"/>
        <w:rPr>
          <w:rFonts w:ascii="Times New Roman" w:hAnsi="Times New Roman"/>
        </w:rPr>
      </w:pPr>
      <w:r w:rsidRPr="00DA09B6">
        <w:rPr>
          <w:rFonts w:ascii="Times New Roman" w:hAnsi="Times New Roman"/>
          <w:vertAlign w:val="superscript"/>
        </w:rPr>
        <w:t>1</w:t>
      </w:r>
      <w:r w:rsidR="00B56D34" w:rsidRPr="00DA09B6">
        <w:rPr>
          <w:rFonts w:ascii="Times New Roman" w:hAnsi="Times New Roman"/>
        </w:rPr>
        <w:t xml:space="preserve">Tractebel Engineering Coyne-et-Bellier, Le Delage </w:t>
      </w:r>
      <w:r w:rsidRPr="00DA09B6">
        <w:rPr>
          <w:rFonts w:ascii="Times New Roman" w:hAnsi="Times New Roman"/>
        </w:rPr>
        <w:t>– 5 rue du 19 mars 1962, 92622 </w:t>
      </w:r>
      <w:r w:rsidR="00B56D34" w:rsidRPr="00DA09B6">
        <w:rPr>
          <w:rFonts w:ascii="Times New Roman" w:hAnsi="Times New Roman"/>
        </w:rPr>
        <w:t>Gennevilliers Cedex</w:t>
      </w:r>
      <w:r w:rsidRPr="00DA09B6">
        <w:rPr>
          <w:rFonts w:ascii="Times New Roman" w:hAnsi="Times New Roman"/>
        </w:rPr>
        <w:t>, France</w:t>
      </w:r>
    </w:p>
    <w:p w:rsidR="005D479A" w:rsidRPr="00DA09B6" w:rsidRDefault="005D479A" w:rsidP="00500D52">
      <w:pPr>
        <w:pStyle w:val="paragraphesimple"/>
        <w:spacing w:after="60"/>
        <w:jc w:val="left"/>
        <w:rPr>
          <w:rFonts w:ascii="Times New Roman" w:hAnsi="Times New Roman"/>
          <w:u w:val="single"/>
        </w:rPr>
      </w:pPr>
      <w:r w:rsidRPr="00DA09B6">
        <w:rPr>
          <w:rFonts w:ascii="Times New Roman" w:hAnsi="Times New Roman"/>
          <w:u w:val="single"/>
        </w:rPr>
        <w:t>pierre-yves.bourgin@gdfsuez.com</w:t>
      </w:r>
    </w:p>
    <w:p w:rsidR="005D479A" w:rsidRPr="00DA09B6" w:rsidRDefault="005D479A" w:rsidP="0081018F">
      <w:pPr>
        <w:pStyle w:val="paragraphesimple"/>
        <w:spacing w:after="480"/>
        <w:jc w:val="left"/>
        <w:rPr>
          <w:rFonts w:ascii="Times New Roman" w:hAnsi="Times New Roman"/>
          <w:b/>
          <w:i/>
        </w:rPr>
      </w:pPr>
    </w:p>
    <w:p w:rsidR="005D479A" w:rsidRPr="00DA09B6" w:rsidRDefault="005D479A" w:rsidP="0081018F">
      <w:pPr>
        <w:pStyle w:val="paragraphesimple"/>
        <w:spacing w:after="480"/>
        <w:jc w:val="left"/>
        <w:rPr>
          <w:rFonts w:ascii="Times New Roman" w:hAnsi="Times New Roman"/>
          <w:b/>
        </w:rPr>
      </w:pPr>
      <w:r w:rsidRPr="00DA09B6">
        <w:rPr>
          <w:rFonts w:ascii="Times New Roman" w:hAnsi="Times New Roman"/>
          <w:b/>
        </w:rPr>
        <w:t>Résumé</w:t>
      </w:r>
    </w:p>
    <w:p w:rsidR="005D479A" w:rsidRPr="00BE3FD4" w:rsidRDefault="005D479A" w:rsidP="00BE3FD4">
      <w:pPr>
        <w:jc w:val="both"/>
        <w:rPr>
          <w:sz w:val="22"/>
          <w:szCs w:val="22"/>
        </w:rPr>
      </w:pPr>
      <w:r w:rsidRPr="00BE3FD4">
        <w:rPr>
          <w:sz w:val="22"/>
          <w:szCs w:val="22"/>
        </w:rPr>
        <w:t xml:space="preserve">Le </w:t>
      </w:r>
      <w:r w:rsidR="00BE3FD4" w:rsidRPr="00BE3FD4">
        <w:rPr>
          <w:sz w:val="22"/>
          <w:szCs w:val="22"/>
        </w:rPr>
        <w:t>f</w:t>
      </w:r>
      <w:r w:rsidRPr="00BE3FD4">
        <w:rPr>
          <w:sz w:val="22"/>
          <w:szCs w:val="22"/>
        </w:rPr>
        <w:t xml:space="preserve">leuve Sassandra draine un bassin versant d’environ 75 000 km² à l’ouest de la Côte d’Ivoire. S’étirant des savanes du nord à la forêt dense au sud, il subit l’influence successive des régimes pluviométriques du climat tropical de transition et du </w:t>
      </w:r>
      <w:r w:rsidR="00BE3FD4" w:rsidRPr="00BE3FD4">
        <w:rPr>
          <w:sz w:val="22"/>
          <w:szCs w:val="22"/>
        </w:rPr>
        <w:t>climat équatorial de transition.</w:t>
      </w:r>
    </w:p>
    <w:p w:rsidR="005D479A" w:rsidRPr="00BE3FD4" w:rsidRDefault="005D479A" w:rsidP="00BE3FD4">
      <w:pPr>
        <w:jc w:val="both"/>
        <w:rPr>
          <w:sz w:val="22"/>
          <w:szCs w:val="22"/>
        </w:rPr>
      </w:pPr>
    </w:p>
    <w:p w:rsidR="005D479A" w:rsidRPr="00BE3FD4" w:rsidRDefault="005D479A" w:rsidP="00BE3FD4">
      <w:pPr>
        <w:jc w:val="both"/>
        <w:rPr>
          <w:sz w:val="22"/>
          <w:szCs w:val="22"/>
        </w:rPr>
      </w:pPr>
      <w:r w:rsidRPr="00BE3FD4">
        <w:rPr>
          <w:sz w:val="22"/>
          <w:szCs w:val="22"/>
        </w:rPr>
        <w:t xml:space="preserve">L’aménagement du Sassandra a commencé au début des années 1980 avec la construction du barrage-réservoir </w:t>
      </w:r>
      <w:r w:rsidR="00BE3FD4" w:rsidRPr="00BE3FD4">
        <w:rPr>
          <w:sz w:val="22"/>
          <w:szCs w:val="22"/>
        </w:rPr>
        <w:t xml:space="preserve">et de l’usine hydroélectrique </w:t>
      </w:r>
      <w:r w:rsidRPr="00BE3FD4">
        <w:rPr>
          <w:sz w:val="22"/>
          <w:szCs w:val="22"/>
        </w:rPr>
        <w:t xml:space="preserve">de Buyo (environ </w:t>
      </w:r>
      <w:r w:rsidR="00370836" w:rsidRPr="00BE3FD4">
        <w:rPr>
          <w:sz w:val="22"/>
          <w:szCs w:val="22"/>
        </w:rPr>
        <w:t>8</w:t>
      </w:r>
      <w:r w:rsidRPr="00BE3FD4">
        <w:rPr>
          <w:sz w:val="22"/>
          <w:szCs w:val="22"/>
        </w:rPr>
        <w:t> milliards de m</w:t>
      </w:r>
      <w:r w:rsidRPr="00BE3FD4">
        <w:rPr>
          <w:sz w:val="22"/>
          <w:szCs w:val="22"/>
          <w:vertAlign w:val="superscript"/>
        </w:rPr>
        <w:t>3</w:t>
      </w:r>
      <w:r w:rsidRPr="00BE3FD4">
        <w:rPr>
          <w:sz w:val="22"/>
          <w:szCs w:val="22"/>
        </w:rPr>
        <w:t xml:space="preserve"> de retenue et 165 MW de puissance installée). Il se poursuit actuellement avec la construction du barrage de Soubré</w:t>
      </w:r>
      <w:r w:rsidR="00B35F4A">
        <w:rPr>
          <w:sz w:val="22"/>
          <w:szCs w:val="22"/>
        </w:rPr>
        <w:t xml:space="preserve"> en aval</w:t>
      </w:r>
      <w:r w:rsidRPr="00BE3FD4">
        <w:rPr>
          <w:sz w:val="22"/>
          <w:szCs w:val="22"/>
        </w:rPr>
        <w:t xml:space="preserve">, un aménagement au fil de l’eau de 275 MW qui va bénéficier de la régularisation des débits réalisée par Buyo et pour lequel </w:t>
      </w:r>
      <w:proofErr w:type="spellStart"/>
      <w:r w:rsidRPr="00BE3FD4">
        <w:rPr>
          <w:sz w:val="22"/>
          <w:szCs w:val="22"/>
        </w:rPr>
        <w:t>Tractebel</w:t>
      </w:r>
      <w:proofErr w:type="spellEnd"/>
      <w:r w:rsidRPr="00BE3FD4">
        <w:rPr>
          <w:sz w:val="22"/>
          <w:szCs w:val="22"/>
        </w:rPr>
        <w:t xml:space="preserve"> </w:t>
      </w:r>
      <w:proofErr w:type="spellStart"/>
      <w:r w:rsidRPr="00BE3FD4">
        <w:rPr>
          <w:sz w:val="22"/>
          <w:szCs w:val="22"/>
        </w:rPr>
        <w:t>Enginnering</w:t>
      </w:r>
      <w:proofErr w:type="spellEnd"/>
      <w:r w:rsidR="00B35F4A">
        <w:rPr>
          <w:sz w:val="22"/>
          <w:szCs w:val="22"/>
        </w:rPr>
        <w:t>/</w:t>
      </w:r>
      <w:r w:rsidRPr="00BE3FD4">
        <w:rPr>
          <w:sz w:val="22"/>
          <w:szCs w:val="22"/>
        </w:rPr>
        <w:t>Coyne-et-Bellier a réalisé les études de conception et supervise actuellement la construction.</w:t>
      </w:r>
    </w:p>
    <w:p w:rsidR="005D479A" w:rsidRPr="00BE3FD4" w:rsidRDefault="005D479A" w:rsidP="00BE3FD4">
      <w:pPr>
        <w:jc w:val="both"/>
        <w:rPr>
          <w:sz w:val="22"/>
          <w:szCs w:val="22"/>
        </w:rPr>
      </w:pPr>
    </w:p>
    <w:p w:rsidR="005D479A" w:rsidRPr="00BE3FD4" w:rsidRDefault="005D479A" w:rsidP="00BE3FD4">
      <w:pPr>
        <w:jc w:val="both"/>
        <w:rPr>
          <w:sz w:val="22"/>
          <w:szCs w:val="22"/>
        </w:rPr>
      </w:pPr>
      <w:r w:rsidRPr="00BE3FD4">
        <w:rPr>
          <w:sz w:val="22"/>
          <w:szCs w:val="22"/>
        </w:rPr>
        <w:t>Placé au cœur de la stratégie de développement du potentiel hydroélectrique national, le bassin du Sassandra suscite de nouvelles perspectives d’aménagement, autant à l’amont qu’à l’aval du barrage-réservoir de Buyo.</w:t>
      </w:r>
    </w:p>
    <w:p w:rsidR="005D479A" w:rsidRPr="00BE3FD4" w:rsidRDefault="005D479A" w:rsidP="00BE3FD4">
      <w:pPr>
        <w:jc w:val="both"/>
        <w:rPr>
          <w:sz w:val="22"/>
          <w:szCs w:val="22"/>
        </w:rPr>
      </w:pPr>
    </w:p>
    <w:p w:rsidR="00EA66B6" w:rsidRPr="00BE3FD4" w:rsidRDefault="005D479A" w:rsidP="00BE3FD4">
      <w:pPr>
        <w:jc w:val="both"/>
        <w:rPr>
          <w:sz w:val="22"/>
          <w:szCs w:val="22"/>
        </w:rPr>
      </w:pPr>
      <w:r w:rsidRPr="00BE3FD4">
        <w:rPr>
          <w:sz w:val="22"/>
          <w:szCs w:val="22"/>
        </w:rPr>
        <w:t xml:space="preserve">Dans un contexte d’instabilité des ressources en eau (Servat et Sakho, 1993) et d’accès limité aux données d’observation hydrométéorologique, l’estimation des apports hydrologiques constitue un défi majeur pour les planificateurs et les bureaux en charge des études. </w:t>
      </w:r>
      <w:r w:rsidR="00BE3FD4" w:rsidRPr="00BE3FD4">
        <w:rPr>
          <w:sz w:val="22"/>
          <w:szCs w:val="22"/>
        </w:rPr>
        <w:t>L</w:t>
      </w:r>
      <w:r w:rsidRPr="00BE3FD4">
        <w:rPr>
          <w:sz w:val="22"/>
          <w:szCs w:val="22"/>
        </w:rPr>
        <w:t xml:space="preserve">es méthodes hydrologiques mises en œuvre </w:t>
      </w:r>
      <w:r w:rsidR="00BE3FD4" w:rsidRPr="00BE3FD4">
        <w:rPr>
          <w:sz w:val="22"/>
          <w:szCs w:val="22"/>
        </w:rPr>
        <w:t>seront présentées ainsi qu’une tentative d’évaluation de</w:t>
      </w:r>
      <w:r w:rsidRPr="00BE3FD4">
        <w:rPr>
          <w:sz w:val="22"/>
          <w:szCs w:val="22"/>
        </w:rPr>
        <w:t xml:space="preserve"> la justesse et la robustesse</w:t>
      </w:r>
      <w:r w:rsidR="00BE3FD4" w:rsidRPr="00BE3FD4">
        <w:rPr>
          <w:sz w:val="22"/>
          <w:szCs w:val="22"/>
        </w:rPr>
        <w:t xml:space="preserve"> des résultats obtenus</w:t>
      </w:r>
      <w:r w:rsidRPr="00BE3FD4">
        <w:rPr>
          <w:sz w:val="22"/>
          <w:szCs w:val="22"/>
        </w:rPr>
        <w:t>.</w:t>
      </w:r>
    </w:p>
    <w:p w:rsidR="00EA66B6" w:rsidRPr="00BE3FD4" w:rsidRDefault="00EA66B6" w:rsidP="00BE3FD4">
      <w:pPr>
        <w:jc w:val="both"/>
        <w:rPr>
          <w:sz w:val="22"/>
          <w:szCs w:val="22"/>
        </w:rPr>
      </w:pPr>
    </w:p>
    <w:p w:rsidR="00CD219D" w:rsidRPr="00BE3FD4" w:rsidRDefault="005D479A" w:rsidP="00BE3FD4">
      <w:pPr>
        <w:jc w:val="both"/>
        <w:rPr>
          <w:b/>
          <w:i/>
          <w:sz w:val="22"/>
          <w:szCs w:val="22"/>
        </w:rPr>
      </w:pPr>
      <w:r w:rsidRPr="00BE3FD4">
        <w:rPr>
          <w:sz w:val="22"/>
          <w:szCs w:val="22"/>
        </w:rPr>
        <w:t xml:space="preserve">Ces apports hydrologiques constituent les principaux forçages d’un modèle intégré de gestion des ressources en eau et de planification de l’aménagement du bassin du Sassandra. Les </w:t>
      </w:r>
      <w:r w:rsidR="005F63F7" w:rsidRPr="00BE3FD4">
        <w:rPr>
          <w:sz w:val="22"/>
          <w:szCs w:val="22"/>
        </w:rPr>
        <w:t xml:space="preserve">caractéristiques et les principaux </w:t>
      </w:r>
      <w:r w:rsidR="00BE3FD4" w:rsidRPr="00BE3FD4">
        <w:rPr>
          <w:sz w:val="22"/>
          <w:szCs w:val="22"/>
        </w:rPr>
        <w:t>bénéfices tirés de l’utilisation de ce</w:t>
      </w:r>
      <w:r w:rsidR="005F63F7" w:rsidRPr="00BE3FD4">
        <w:rPr>
          <w:sz w:val="22"/>
          <w:szCs w:val="22"/>
        </w:rPr>
        <w:t xml:space="preserve"> modèle </w:t>
      </w:r>
      <w:r w:rsidR="00BE3FD4" w:rsidRPr="00BE3FD4">
        <w:rPr>
          <w:sz w:val="22"/>
          <w:szCs w:val="22"/>
        </w:rPr>
        <w:t>sont discutés</w:t>
      </w:r>
      <w:r w:rsidR="005F63F7" w:rsidRPr="00BE3FD4">
        <w:rPr>
          <w:sz w:val="22"/>
          <w:szCs w:val="22"/>
        </w:rPr>
        <w:t>.</w:t>
      </w:r>
    </w:p>
    <w:p w:rsidR="005D479A" w:rsidRPr="00DA09B6" w:rsidRDefault="005D479A" w:rsidP="00BE3FD4">
      <w:pPr>
        <w:jc w:val="both"/>
        <w:rPr>
          <w:sz w:val="22"/>
          <w:szCs w:val="22"/>
          <w:highlight w:val="yellow"/>
        </w:rPr>
      </w:pPr>
    </w:p>
    <w:p w:rsidR="005D479A" w:rsidRPr="00DA09B6" w:rsidRDefault="005D479A" w:rsidP="00BE3FD4">
      <w:pPr>
        <w:pStyle w:val="paragraphesimple"/>
        <w:spacing w:after="480"/>
        <w:rPr>
          <w:rFonts w:ascii="Times New Roman" w:hAnsi="Times New Roman"/>
        </w:rPr>
      </w:pPr>
      <w:r w:rsidRPr="00BE3FD4">
        <w:rPr>
          <w:rFonts w:ascii="Times New Roman" w:hAnsi="Times New Roman"/>
          <w:b/>
        </w:rPr>
        <w:t>Mots-clefs :</w:t>
      </w:r>
      <w:r w:rsidRPr="00BE3FD4">
        <w:rPr>
          <w:rFonts w:ascii="Times New Roman" w:hAnsi="Times New Roman"/>
        </w:rPr>
        <w:t xml:space="preserve"> </w:t>
      </w:r>
      <w:r w:rsidR="00BE3FD4" w:rsidRPr="00BE3FD4">
        <w:rPr>
          <w:rFonts w:ascii="Times New Roman" w:hAnsi="Times New Roman"/>
          <w:sz w:val="20"/>
        </w:rPr>
        <w:t>Côte d’Ivoire</w:t>
      </w:r>
      <w:r w:rsidR="00BE3FD4">
        <w:rPr>
          <w:rFonts w:ascii="Times New Roman" w:hAnsi="Times New Roman"/>
          <w:sz w:val="20"/>
        </w:rPr>
        <w:t> ;</w:t>
      </w:r>
      <w:r w:rsidR="00BE3FD4" w:rsidRPr="00BE3FD4">
        <w:rPr>
          <w:rFonts w:ascii="Times New Roman" w:hAnsi="Times New Roman"/>
          <w:sz w:val="20"/>
        </w:rPr>
        <w:t xml:space="preserve"> </w:t>
      </w:r>
      <w:r w:rsidRPr="00BE3FD4">
        <w:rPr>
          <w:rFonts w:ascii="Times New Roman" w:hAnsi="Times New Roman"/>
          <w:sz w:val="20"/>
        </w:rPr>
        <w:t>S</w:t>
      </w:r>
      <w:r w:rsidR="00BE3FD4" w:rsidRPr="00BE3FD4">
        <w:rPr>
          <w:rFonts w:ascii="Times New Roman" w:hAnsi="Times New Roman"/>
          <w:sz w:val="20"/>
        </w:rPr>
        <w:t>assandra</w:t>
      </w:r>
      <w:r w:rsidR="00BE3FD4">
        <w:rPr>
          <w:rFonts w:ascii="Times New Roman" w:hAnsi="Times New Roman"/>
          <w:sz w:val="20"/>
        </w:rPr>
        <w:t> ;</w:t>
      </w:r>
      <w:r w:rsidR="00BE3FD4" w:rsidRPr="00BE3FD4">
        <w:rPr>
          <w:rFonts w:ascii="Times New Roman" w:hAnsi="Times New Roman"/>
          <w:sz w:val="20"/>
        </w:rPr>
        <w:t xml:space="preserve"> modélisation hydrologique</w:t>
      </w:r>
      <w:r w:rsidR="00BE3FD4">
        <w:rPr>
          <w:rFonts w:ascii="Times New Roman" w:hAnsi="Times New Roman"/>
          <w:sz w:val="20"/>
        </w:rPr>
        <w:t> ;</w:t>
      </w:r>
      <w:r w:rsidR="00BE3FD4" w:rsidRPr="00BE3FD4">
        <w:rPr>
          <w:rFonts w:ascii="Times New Roman" w:hAnsi="Times New Roman"/>
          <w:sz w:val="20"/>
        </w:rPr>
        <w:t xml:space="preserve"> GR2M</w:t>
      </w:r>
      <w:r w:rsidR="00BE3FD4">
        <w:rPr>
          <w:rFonts w:ascii="Times New Roman" w:hAnsi="Times New Roman"/>
          <w:sz w:val="20"/>
        </w:rPr>
        <w:t> ;</w:t>
      </w:r>
      <w:r w:rsidRPr="00BE3FD4">
        <w:rPr>
          <w:rFonts w:ascii="Times New Roman" w:hAnsi="Times New Roman"/>
          <w:sz w:val="20"/>
        </w:rPr>
        <w:t xml:space="preserve"> </w:t>
      </w:r>
      <w:r w:rsidR="00DA09B6" w:rsidRPr="00BE3FD4">
        <w:rPr>
          <w:rFonts w:ascii="Times New Roman" w:hAnsi="Times New Roman"/>
          <w:sz w:val="20"/>
        </w:rPr>
        <w:t>hydroélectricité</w:t>
      </w:r>
      <w:r w:rsidR="00BE3FD4">
        <w:rPr>
          <w:rFonts w:ascii="Times New Roman" w:hAnsi="Times New Roman"/>
          <w:sz w:val="20"/>
        </w:rPr>
        <w:t> ; aménagement ;</w:t>
      </w:r>
      <w:r w:rsidRPr="00BE3FD4">
        <w:rPr>
          <w:rFonts w:ascii="Times New Roman" w:hAnsi="Times New Roman"/>
          <w:sz w:val="20"/>
        </w:rPr>
        <w:t xml:space="preserve"> </w:t>
      </w:r>
      <w:r w:rsidR="00BE3FD4" w:rsidRPr="00BE3FD4">
        <w:rPr>
          <w:rFonts w:ascii="Times New Roman" w:hAnsi="Times New Roman"/>
          <w:sz w:val="20"/>
        </w:rPr>
        <w:t>planification</w:t>
      </w:r>
      <w:r w:rsidR="00BE3FD4">
        <w:rPr>
          <w:rFonts w:ascii="Times New Roman" w:hAnsi="Times New Roman"/>
          <w:sz w:val="20"/>
        </w:rPr>
        <w:t> ;</w:t>
      </w:r>
      <w:r w:rsidR="00BE3FD4" w:rsidRPr="00BE3FD4">
        <w:rPr>
          <w:rFonts w:ascii="Times New Roman" w:hAnsi="Times New Roman"/>
          <w:sz w:val="20"/>
        </w:rPr>
        <w:t xml:space="preserve"> conception</w:t>
      </w:r>
      <w:r w:rsidR="00BE3FD4">
        <w:rPr>
          <w:rFonts w:ascii="Times New Roman" w:hAnsi="Times New Roman"/>
          <w:sz w:val="20"/>
        </w:rPr>
        <w:t> ;</w:t>
      </w:r>
      <w:r w:rsidR="00BE3FD4" w:rsidRPr="00BE3FD4">
        <w:rPr>
          <w:rFonts w:ascii="Times New Roman" w:hAnsi="Times New Roman"/>
          <w:sz w:val="20"/>
        </w:rPr>
        <w:t xml:space="preserve"> </w:t>
      </w:r>
      <w:r w:rsidRPr="00BE3FD4">
        <w:rPr>
          <w:rFonts w:ascii="Times New Roman" w:hAnsi="Times New Roman"/>
          <w:sz w:val="20"/>
        </w:rPr>
        <w:t>impacts</w:t>
      </w:r>
      <w:r w:rsidR="00BE3FD4">
        <w:rPr>
          <w:rFonts w:ascii="Times New Roman" w:hAnsi="Times New Roman"/>
          <w:sz w:val="20"/>
        </w:rPr>
        <w:t> ;</w:t>
      </w:r>
      <w:r w:rsidR="00BE3FD4" w:rsidRPr="00BE3FD4">
        <w:rPr>
          <w:rFonts w:ascii="Times New Roman" w:hAnsi="Times New Roman"/>
          <w:sz w:val="20"/>
        </w:rPr>
        <w:t xml:space="preserve"> variantes</w:t>
      </w:r>
    </w:p>
    <w:p w:rsidR="00EA66B6" w:rsidRDefault="00EA66B6" w:rsidP="005D479A">
      <w:pPr>
        <w:pStyle w:val="paragraphesimple"/>
        <w:spacing w:after="480"/>
        <w:jc w:val="left"/>
        <w:rPr>
          <w:rFonts w:ascii="Times New Roman" w:hAnsi="Times New Roman"/>
        </w:rPr>
      </w:pPr>
    </w:p>
    <w:p w:rsidR="00BE3FD4" w:rsidRDefault="00BE3FD4" w:rsidP="005D479A">
      <w:pPr>
        <w:pStyle w:val="paragraphesimple"/>
        <w:spacing w:after="480"/>
        <w:jc w:val="left"/>
        <w:rPr>
          <w:rFonts w:ascii="Times New Roman" w:hAnsi="Times New Roman"/>
        </w:rPr>
      </w:pPr>
    </w:p>
    <w:p w:rsidR="00BE3FD4" w:rsidRPr="00DA09B6" w:rsidRDefault="00BE3FD4" w:rsidP="005D479A">
      <w:pPr>
        <w:pStyle w:val="paragraphesimple"/>
        <w:spacing w:after="480"/>
        <w:jc w:val="left"/>
        <w:rPr>
          <w:rFonts w:ascii="Times New Roman" w:hAnsi="Times New Roman"/>
        </w:rPr>
      </w:pPr>
    </w:p>
    <w:p w:rsidR="00972D64" w:rsidRPr="00DA09B6" w:rsidRDefault="00972D64" w:rsidP="00972D64">
      <w:pPr>
        <w:pStyle w:val="Titre1"/>
      </w:pPr>
      <w:r w:rsidRPr="00DA09B6">
        <w:lastRenderedPageBreak/>
        <w:t>Introduction</w:t>
      </w:r>
    </w:p>
    <w:p w:rsidR="00EA66B6" w:rsidRPr="00DA09B6" w:rsidRDefault="00EA66B6" w:rsidP="00EA66B6">
      <w:pPr>
        <w:rPr>
          <w:sz w:val="22"/>
        </w:rPr>
      </w:pPr>
    </w:p>
    <w:p w:rsidR="00972D64" w:rsidRPr="00DA09B6" w:rsidRDefault="00972D64" w:rsidP="00EA66B6">
      <w:pPr>
        <w:jc w:val="both"/>
        <w:rPr>
          <w:sz w:val="22"/>
        </w:rPr>
      </w:pPr>
      <w:r w:rsidRPr="00DA09B6">
        <w:rPr>
          <w:sz w:val="22"/>
        </w:rPr>
        <w:t>Près de 5 ans après la crise post-électorale d’octobre 2010, la Côte d’Ivoire a repris le chemin de la croissan</w:t>
      </w:r>
      <w:r w:rsidR="00DA09B6" w:rsidRPr="00DA09B6">
        <w:rPr>
          <w:sz w:val="22"/>
        </w:rPr>
        <w:t>c</w:t>
      </w:r>
      <w:r w:rsidRPr="00DA09B6">
        <w:rPr>
          <w:sz w:val="22"/>
        </w:rPr>
        <w:t>e économique avec des taux établis entre 8 et 10% pour les années 2012 à 2014 et des perspectives du même ordre pour les années à venir.</w:t>
      </w:r>
      <w:r w:rsidR="00D8443C">
        <w:rPr>
          <w:sz w:val="22"/>
        </w:rPr>
        <w:t xml:space="preserve"> </w:t>
      </w:r>
      <w:r w:rsidRPr="00DA09B6">
        <w:rPr>
          <w:sz w:val="22"/>
        </w:rPr>
        <w:t>Les besoins en énergie pour soutenir de tels niveaux de croissance économique sont immenses.</w:t>
      </w:r>
      <w:r w:rsidR="00CD7033" w:rsidRPr="00DA09B6">
        <w:rPr>
          <w:sz w:val="22"/>
        </w:rPr>
        <w:t xml:space="preserve"> L</w:t>
      </w:r>
      <w:r w:rsidRPr="00DA09B6">
        <w:rPr>
          <w:sz w:val="22"/>
        </w:rPr>
        <w:t>e taux de croissance prévisionnelle de la consommation électrique intérieure brute est évalué entre 8 et 10 % à court et moyen terme.</w:t>
      </w:r>
    </w:p>
    <w:p w:rsidR="00972D64" w:rsidRPr="00DA09B6" w:rsidRDefault="00972D64" w:rsidP="00EA66B6">
      <w:pPr>
        <w:jc w:val="both"/>
        <w:rPr>
          <w:sz w:val="22"/>
        </w:rPr>
      </w:pPr>
    </w:p>
    <w:p w:rsidR="00972D64" w:rsidRPr="00DA09B6" w:rsidRDefault="00972D64" w:rsidP="00EA66B6">
      <w:pPr>
        <w:jc w:val="both"/>
        <w:rPr>
          <w:sz w:val="22"/>
        </w:rPr>
      </w:pPr>
      <w:r w:rsidRPr="00DA09B6">
        <w:rPr>
          <w:sz w:val="22"/>
        </w:rPr>
        <w:t>Une augmentation de la capacité installée de 100 à 150 MW par an est nécessaire pour assurer l’équilibre entre l’offre et la demande en électricité. Cette augmentation correspond à 6 à 9% de la capacité installée du parc de production en 2014 soit 1 630 MW, dont 37% est constitué par les centrales hydroélectriques.</w:t>
      </w:r>
    </w:p>
    <w:p w:rsidR="00972D64" w:rsidRPr="00DA09B6" w:rsidRDefault="00972D64" w:rsidP="00EA66B6">
      <w:pPr>
        <w:jc w:val="both"/>
        <w:rPr>
          <w:sz w:val="22"/>
        </w:rPr>
      </w:pPr>
    </w:p>
    <w:p w:rsidR="001A2F0D" w:rsidRPr="00DA09B6" w:rsidRDefault="00972D64" w:rsidP="00EA66B6">
      <w:pPr>
        <w:jc w:val="both"/>
        <w:rPr>
          <w:sz w:val="22"/>
        </w:rPr>
      </w:pPr>
      <w:r w:rsidRPr="00DA09B6">
        <w:rPr>
          <w:sz w:val="22"/>
        </w:rPr>
        <w:t xml:space="preserve">La Côte d’Ivoire mise sur son fort potentiel hydroélectrique pour augmenter la capacité de son parc de production et ainsi assurer l’équilibre entre l’offre et une demande en forte augmentation. Le bassin du </w:t>
      </w:r>
      <w:r w:rsidR="001A2F0D" w:rsidRPr="00DA09B6">
        <w:rPr>
          <w:sz w:val="22"/>
        </w:rPr>
        <w:t>f</w:t>
      </w:r>
      <w:r w:rsidRPr="00DA09B6">
        <w:rPr>
          <w:sz w:val="22"/>
        </w:rPr>
        <w:t>leuve Sassandra</w:t>
      </w:r>
      <w:r w:rsidR="001A2F0D" w:rsidRPr="00DA09B6">
        <w:rPr>
          <w:sz w:val="22"/>
        </w:rPr>
        <w:t xml:space="preserve"> est au </w:t>
      </w:r>
      <w:r w:rsidR="00DA09B6" w:rsidRPr="00DA09B6">
        <w:rPr>
          <w:sz w:val="22"/>
        </w:rPr>
        <w:t>cœur</w:t>
      </w:r>
      <w:r w:rsidR="001A2F0D" w:rsidRPr="00DA09B6">
        <w:rPr>
          <w:sz w:val="22"/>
        </w:rPr>
        <w:t xml:space="preserve"> de cette stratégie de développement hydroélectrique avec l’ambition de faire de ce territoire le plus grand pôle énergétique de la Côte d’Ivoire.</w:t>
      </w:r>
    </w:p>
    <w:p w:rsidR="001A2F0D" w:rsidRPr="00DA09B6" w:rsidRDefault="001A2F0D" w:rsidP="00EA66B6">
      <w:pPr>
        <w:jc w:val="both"/>
        <w:rPr>
          <w:sz w:val="22"/>
        </w:rPr>
      </w:pPr>
    </w:p>
    <w:p w:rsidR="001A2F0D" w:rsidRPr="00DA09B6" w:rsidRDefault="001A2F0D" w:rsidP="00EA66B6">
      <w:pPr>
        <w:jc w:val="both"/>
        <w:rPr>
          <w:sz w:val="22"/>
        </w:rPr>
      </w:pPr>
      <w:proofErr w:type="spellStart"/>
      <w:r w:rsidRPr="00DA09B6">
        <w:rPr>
          <w:sz w:val="22"/>
        </w:rPr>
        <w:t>Tractebel</w:t>
      </w:r>
      <w:proofErr w:type="spellEnd"/>
      <w:r w:rsidRPr="00DA09B6">
        <w:rPr>
          <w:sz w:val="22"/>
        </w:rPr>
        <w:t xml:space="preserve"> Engineering</w:t>
      </w:r>
      <w:r w:rsidR="00B35F4A">
        <w:rPr>
          <w:sz w:val="22"/>
        </w:rPr>
        <w:t>/</w:t>
      </w:r>
      <w:r w:rsidRPr="00DA09B6">
        <w:rPr>
          <w:sz w:val="22"/>
        </w:rPr>
        <w:t xml:space="preserve">Coyne et Bélier </w:t>
      </w:r>
      <w:r w:rsidR="00DA09B6" w:rsidRPr="00DA09B6">
        <w:rPr>
          <w:sz w:val="22"/>
        </w:rPr>
        <w:t>accompagne</w:t>
      </w:r>
      <w:r w:rsidRPr="00DA09B6">
        <w:rPr>
          <w:sz w:val="22"/>
        </w:rPr>
        <w:t xml:space="preserve"> la Compagnie Ivoirienne d’Electricité (CIE) depuis de nombreuses années dans la réalisation de ce développement à travers des missions de planification, de faisabilité et conception, et d’</w:t>
      </w:r>
      <w:r w:rsidR="00DA09B6" w:rsidRPr="00DA09B6">
        <w:rPr>
          <w:sz w:val="22"/>
        </w:rPr>
        <w:t>exécution</w:t>
      </w:r>
      <w:r w:rsidRPr="00DA09B6">
        <w:rPr>
          <w:sz w:val="22"/>
        </w:rPr>
        <w:t>, comme pour le barrage de Soubré (275 MW) actuellement en construction.</w:t>
      </w:r>
    </w:p>
    <w:p w:rsidR="001A2F0D" w:rsidRPr="00DA09B6" w:rsidRDefault="001A2F0D" w:rsidP="00EA66B6">
      <w:pPr>
        <w:jc w:val="both"/>
        <w:rPr>
          <w:sz w:val="22"/>
        </w:rPr>
      </w:pPr>
    </w:p>
    <w:p w:rsidR="00972D64" w:rsidRPr="00DA09B6" w:rsidRDefault="001A2F0D" w:rsidP="00EA66B6">
      <w:pPr>
        <w:jc w:val="both"/>
        <w:rPr>
          <w:sz w:val="22"/>
        </w:rPr>
      </w:pPr>
      <w:r w:rsidRPr="00DA09B6">
        <w:rPr>
          <w:sz w:val="22"/>
        </w:rPr>
        <w:t xml:space="preserve">Identifiés lors de l’inventaire du potentiel hydroélectrique national réalisé entre 1977 et 1979 par Electricité de France (EDF), certains sites potentiels suscitent aujourd’hui des perspectives d’investissement et donc un regain d’attention des planificateurs et bureaux d’étude en charge de la réalisation des études de faisabilité. </w:t>
      </w:r>
    </w:p>
    <w:p w:rsidR="001A2F0D" w:rsidRPr="00DA09B6" w:rsidRDefault="001A2F0D" w:rsidP="00EA66B6">
      <w:pPr>
        <w:jc w:val="both"/>
        <w:rPr>
          <w:sz w:val="22"/>
        </w:rPr>
      </w:pPr>
    </w:p>
    <w:p w:rsidR="00BC4D7C" w:rsidRPr="00DA09B6" w:rsidRDefault="001A2F0D" w:rsidP="00BC4D7C">
      <w:pPr>
        <w:jc w:val="both"/>
        <w:rPr>
          <w:sz w:val="22"/>
        </w:rPr>
      </w:pPr>
      <w:r w:rsidRPr="00DA09B6">
        <w:rPr>
          <w:sz w:val="22"/>
        </w:rPr>
        <w:t xml:space="preserve">La multiplication et l’interaction des projets d’aménagement </w:t>
      </w:r>
      <w:r w:rsidR="00DA09B6" w:rsidRPr="00DA09B6">
        <w:rPr>
          <w:sz w:val="22"/>
        </w:rPr>
        <w:t>nécessitent</w:t>
      </w:r>
      <w:r w:rsidRPr="00DA09B6">
        <w:rPr>
          <w:sz w:val="22"/>
        </w:rPr>
        <w:t xml:space="preserve"> une approche de Gestion Intégrée des Ressources en Eau (GIRE) à l’échelle du bassin versant du fleuve Sassandra.</w:t>
      </w:r>
      <w:r w:rsidR="00BC4D7C" w:rsidRPr="00DA09B6">
        <w:rPr>
          <w:sz w:val="22"/>
        </w:rPr>
        <w:t xml:space="preserve"> Par ailleurs, le bassin du Sassandra a connu une forte baisse de la pluviométrie et des écoulements de surface avec une rupture identifiée au </w:t>
      </w:r>
      <w:r w:rsidR="00DA09B6" w:rsidRPr="00DA09B6">
        <w:rPr>
          <w:sz w:val="22"/>
        </w:rPr>
        <w:t>passage</w:t>
      </w:r>
      <w:r w:rsidR="00BC4D7C" w:rsidRPr="00DA09B6">
        <w:rPr>
          <w:sz w:val="22"/>
        </w:rPr>
        <w:t xml:space="preserve"> des années 1960 à 1970 </w:t>
      </w:r>
      <w:sdt>
        <w:sdtPr>
          <w:rPr>
            <w:sz w:val="22"/>
          </w:rPr>
          <w:id w:val="1921139883"/>
          <w:citation/>
        </w:sdtPr>
        <w:sdtEndPr/>
        <w:sdtContent>
          <w:r w:rsidR="00BC4D7C" w:rsidRPr="00DA09B6">
            <w:rPr>
              <w:sz w:val="22"/>
            </w:rPr>
            <w:fldChar w:fldCharType="begin"/>
          </w:r>
          <w:r w:rsidR="00BC4D7C" w:rsidRPr="00DA09B6">
            <w:rPr>
              <w:sz w:val="22"/>
            </w:rPr>
            <w:instrText xml:space="preserve"> CITATION Ser93 \l 1036 </w:instrText>
          </w:r>
          <w:r w:rsidR="00BC4D7C" w:rsidRPr="00DA09B6">
            <w:rPr>
              <w:sz w:val="22"/>
            </w:rPr>
            <w:fldChar w:fldCharType="separate"/>
          </w:r>
          <w:r w:rsidR="00BC4D7C" w:rsidRPr="00DA09B6">
            <w:rPr>
              <w:noProof/>
              <w:sz w:val="22"/>
            </w:rPr>
            <w:t>(Servat &amp; Sakho, 1993)</w:t>
          </w:r>
          <w:r w:rsidR="00BC4D7C" w:rsidRPr="00DA09B6">
            <w:rPr>
              <w:sz w:val="22"/>
            </w:rPr>
            <w:fldChar w:fldCharType="end"/>
          </w:r>
        </w:sdtContent>
      </w:sdt>
      <w:r w:rsidR="00BC4D7C" w:rsidRPr="00DA09B6">
        <w:rPr>
          <w:sz w:val="22"/>
        </w:rPr>
        <w:t xml:space="preserve"> </w:t>
      </w:r>
      <w:sdt>
        <w:sdtPr>
          <w:rPr>
            <w:sz w:val="22"/>
          </w:rPr>
          <w:id w:val="21523056"/>
          <w:citation/>
        </w:sdtPr>
        <w:sdtEndPr/>
        <w:sdtContent>
          <w:r w:rsidR="00BC4D7C" w:rsidRPr="00DA09B6">
            <w:rPr>
              <w:sz w:val="22"/>
            </w:rPr>
            <w:fldChar w:fldCharType="begin"/>
          </w:r>
          <w:r w:rsidR="00BC4D7C" w:rsidRPr="00DA09B6">
            <w:rPr>
              <w:sz w:val="22"/>
            </w:rPr>
            <w:instrText xml:space="preserve"> CITATION Aka96 \l 1036 </w:instrText>
          </w:r>
          <w:r w:rsidR="00BC4D7C" w:rsidRPr="00DA09B6">
            <w:rPr>
              <w:sz w:val="22"/>
            </w:rPr>
            <w:fldChar w:fldCharType="separate"/>
          </w:r>
          <w:r w:rsidR="00BC4D7C" w:rsidRPr="00DA09B6">
            <w:rPr>
              <w:noProof/>
              <w:sz w:val="22"/>
            </w:rPr>
            <w:t>(Aka, et al., 1996)</w:t>
          </w:r>
          <w:r w:rsidR="00BC4D7C" w:rsidRPr="00DA09B6">
            <w:rPr>
              <w:sz w:val="22"/>
            </w:rPr>
            <w:fldChar w:fldCharType="end"/>
          </w:r>
        </w:sdtContent>
      </w:sdt>
      <w:sdt>
        <w:sdtPr>
          <w:rPr>
            <w:sz w:val="22"/>
          </w:rPr>
          <w:id w:val="1646310377"/>
          <w:citation/>
        </w:sdtPr>
        <w:sdtEndPr/>
        <w:sdtContent>
          <w:r w:rsidR="00BC4D7C" w:rsidRPr="00DA09B6">
            <w:rPr>
              <w:sz w:val="22"/>
            </w:rPr>
            <w:fldChar w:fldCharType="begin"/>
          </w:r>
          <w:r w:rsidR="00BC4D7C" w:rsidRPr="00DA09B6">
            <w:rPr>
              <w:sz w:val="22"/>
            </w:rPr>
            <w:instrText xml:space="preserve"> CITATION San04 \l 1036 </w:instrText>
          </w:r>
          <w:r w:rsidR="00BC4D7C" w:rsidRPr="00DA09B6">
            <w:rPr>
              <w:sz w:val="22"/>
            </w:rPr>
            <w:fldChar w:fldCharType="separate"/>
          </w:r>
          <w:r w:rsidR="00BC4D7C" w:rsidRPr="00DA09B6">
            <w:rPr>
              <w:noProof/>
              <w:sz w:val="22"/>
            </w:rPr>
            <w:t xml:space="preserve"> (Ardoin-Bardin, 2004)</w:t>
          </w:r>
          <w:r w:rsidR="00BC4D7C" w:rsidRPr="00DA09B6">
            <w:rPr>
              <w:sz w:val="22"/>
            </w:rPr>
            <w:fldChar w:fldCharType="end"/>
          </w:r>
        </w:sdtContent>
      </w:sdt>
      <w:r w:rsidR="00BC4D7C" w:rsidRPr="00DA09B6">
        <w:rPr>
          <w:sz w:val="22"/>
        </w:rPr>
        <w:t xml:space="preserve"> </w:t>
      </w:r>
      <w:sdt>
        <w:sdtPr>
          <w:rPr>
            <w:sz w:val="22"/>
          </w:rPr>
          <w:id w:val="-926887444"/>
          <w:citation/>
        </w:sdtPr>
        <w:sdtEndPr/>
        <w:sdtContent>
          <w:r w:rsidR="00BC4D7C" w:rsidRPr="00DA09B6">
            <w:rPr>
              <w:sz w:val="22"/>
            </w:rPr>
            <w:fldChar w:fldCharType="begin"/>
          </w:r>
          <w:r w:rsidR="00BC4D7C" w:rsidRPr="00DA09B6">
            <w:rPr>
              <w:sz w:val="22"/>
            </w:rPr>
            <w:instrText xml:space="preserve"> CITATION Yao12 \l 1036 </w:instrText>
          </w:r>
          <w:r w:rsidR="00BC4D7C" w:rsidRPr="00DA09B6">
            <w:rPr>
              <w:sz w:val="22"/>
            </w:rPr>
            <w:fldChar w:fldCharType="separate"/>
          </w:r>
          <w:r w:rsidR="00BC4D7C" w:rsidRPr="00DA09B6">
            <w:rPr>
              <w:noProof/>
              <w:sz w:val="22"/>
            </w:rPr>
            <w:t>(Yao, et al., 2012)</w:t>
          </w:r>
          <w:r w:rsidR="00BC4D7C" w:rsidRPr="00DA09B6">
            <w:rPr>
              <w:sz w:val="22"/>
            </w:rPr>
            <w:fldChar w:fldCharType="end"/>
          </w:r>
        </w:sdtContent>
      </w:sdt>
      <w:r w:rsidR="00BC4D7C" w:rsidRPr="00DA09B6">
        <w:rPr>
          <w:sz w:val="22"/>
        </w:rPr>
        <w:t xml:space="preserve">. La baisse des </w:t>
      </w:r>
      <w:r w:rsidR="00DA09B6" w:rsidRPr="00DA09B6">
        <w:rPr>
          <w:sz w:val="22"/>
        </w:rPr>
        <w:t>ressources</w:t>
      </w:r>
      <w:r w:rsidR="00BC4D7C" w:rsidRPr="00DA09B6">
        <w:rPr>
          <w:sz w:val="22"/>
        </w:rPr>
        <w:t xml:space="preserve"> en eau a provoqué des </w:t>
      </w:r>
      <w:r w:rsidR="00DA09B6" w:rsidRPr="00DA09B6">
        <w:rPr>
          <w:sz w:val="22"/>
        </w:rPr>
        <w:t>contre-performances</w:t>
      </w:r>
      <w:r w:rsidR="00BC4D7C" w:rsidRPr="00DA09B6">
        <w:rPr>
          <w:sz w:val="22"/>
        </w:rPr>
        <w:t xml:space="preserve"> dramatiques des ouvrages dimensionnés sur la base des apports en eau antérieurs à 1970, comme à Buyo et davantage encore à Kossou sur le fleuve Bandama. La variabilité hydrologique constitue un défi pour la planification des aménagements. L’élaboration de longues séries hydrologiques couvrant la variabilité naturelle des écoulements est nécessaire pour l’analyse </w:t>
      </w:r>
      <w:r w:rsidR="00AC1A21" w:rsidRPr="00DA09B6">
        <w:rPr>
          <w:sz w:val="22"/>
        </w:rPr>
        <w:t xml:space="preserve">statistique </w:t>
      </w:r>
      <w:r w:rsidR="00BC4D7C" w:rsidRPr="00DA09B6">
        <w:rPr>
          <w:sz w:val="22"/>
        </w:rPr>
        <w:t>des défaillances et le dimensionnement des ouvrages.</w:t>
      </w:r>
    </w:p>
    <w:p w:rsidR="00BC4D7C" w:rsidRPr="00DA09B6" w:rsidRDefault="00BC4D7C" w:rsidP="00EA66B6">
      <w:pPr>
        <w:jc w:val="both"/>
        <w:rPr>
          <w:sz w:val="22"/>
        </w:rPr>
      </w:pPr>
    </w:p>
    <w:p w:rsidR="001A2F0D" w:rsidRPr="00DA09B6" w:rsidRDefault="00107882" w:rsidP="00EA66B6">
      <w:pPr>
        <w:jc w:val="both"/>
        <w:rPr>
          <w:sz w:val="22"/>
        </w:rPr>
      </w:pPr>
      <w:r w:rsidRPr="00DA09B6">
        <w:rPr>
          <w:sz w:val="22"/>
        </w:rPr>
        <w:t>L’objectif de cet article est d’illustrer</w:t>
      </w:r>
      <w:r w:rsidR="001A2F0D" w:rsidRPr="00DA09B6">
        <w:rPr>
          <w:sz w:val="22"/>
        </w:rPr>
        <w:t xml:space="preserve"> avec l’exemple du bassin du Sassandra comment les outils de la GIRE sont au service de la </w:t>
      </w:r>
      <w:r w:rsidR="00EA66B6" w:rsidRPr="00DA09B6">
        <w:rPr>
          <w:sz w:val="22"/>
        </w:rPr>
        <w:t>planification des ressources en eau et de la conception des aménagements.</w:t>
      </w:r>
      <w:r w:rsidR="00CD7033" w:rsidRPr="00DA09B6">
        <w:rPr>
          <w:sz w:val="22"/>
        </w:rPr>
        <w:t xml:space="preserve"> L’accent sera mis sur la préparation des données hydrologiques qui constituent le principal forçage du modèle de gestion intégré du bassin versant</w:t>
      </w:r>
      <w:r w:rsidR="00E8550A" w:rsidRPr="00DA09B6">
        <w:rPr>
          <w:sz w:val="22"/>
        </w:rPr>
        <w:t xml:space="preserve">, en particulier la modélisation hydrologique des </w:t>
      </w:r>
      <w:r w:rsidR="00D8443C">
        <w:rPr>
          <w:sz w:val="22"/>
        </w:rPr>
        <w:t>sous-bass</w:t>
      </w:r>
      <w:r w:rsidR="00E8550A" w:rsidRPr="00DA09B6">
        <w:rPr>
          <w:sz w:val="22"/>
        </w:rPr>
        <w:t>ins versants d’intérêt.</w:t>
      </w:r>
    </w:p>
    <w:p w:rsidR="00EA66B6" w:rsidRPr="00DA09B6" w:rsidRDefault="00EA66B6" w:rsidP="00CD219D">
      <w:pPr>
        <w:jc w:val="both"/>
        <w:rPr>
          <w:rFonts w:ascii="Arial" w:hAnsi="Arial" w:cs="Arial"/>
          <w:sz w:val="22"/>
          <w:szCs w:val="22"/>
        </w:rPr>
      </w:pPr>
    </w:p>
    <w:p w:rsidR="001A2F0D" w:rsidRPr="00DA09B6" w:rsidRDefault="00EA66B6" w:rsidP="00EA66B6">
      <w:pPr>
        <w:pStyle w:val="Titre1"/>
      </w:pPr>
      <w:r w:rsidRPr="00DA09B6">
        <w:t>Présentation du bassin du fleuve Sassandra</w:t>
      </w:r>
    </w:p>
    <w:p w:rsidR="001A2F0D" w:rsidRPr="00DA09B6" w:rsidRDefault="001A2F0D" w:rsidP="00CD219D">
      <w:pPr>
        <w:jc w:val="both"/>
        <w:rPr>
          <w:rFonts w:ascii="Arial" w:hAnsi="Arial" w:cs="Arial"/>
          <w:sz w:val="22"/>
          <w:szCs w:val="22"/>
        </w:rPr>
      </w:pPr>
    </w:p>
    <w:p w:rsidR="002D0341" w:rsidRPr="00DA09B6" w:rsidRDefault="002D0341" w:rsidP="002D0341">
      <w:pPr>
        <w:pStyle w:val="Titre2"/>
      </w:pPr>
      <w:r w:rsidRPr="00DA09B6">
        <w:t>Hydrographie et climat</w:t>
      </w:r>
    </w:p>
    <w:p w:rsidR="002D0341" w:rsidRPr="00DA09B6" w:rsidRDefault="002D0341" w:rsidP="00EA66B6">
      <w:pPr>
        <w:jc w:val="both"/>
        <w:rPr>
          <w:sz w:val="22"/>
        </w:rPr>
      </w:pPr>
    </w:p>
    <w:p w:rsidR="00EA66B6" w:rsidRPr="00DA09B6" w:rsidRDefault="00EA66B6" w:rsidP="00EA66B6">
      <w:pPr>
        <w:jc w:val="both"/>
        <w:rPr>
          <w:sz w:val="22"/>
        </w:rPr>
      </w:pPr>
      <w:r w:rsidRPr="00DA09B6">
        <w:rPr>
          <w:sz w:val="22"/>
        </w:rPr>
        <w:t xml:space="preserve">Le bassin versant du </w:t>
      </w:r>
      <w:r w:rsidRPr="00217914">
        <w:rPr>
          <w:sz w:val="22"/>
        </w:rPr>
        <w:t>Sassandra</w:t>
      </w:r>
      <w:r w:rsidR="006F611D" w:rsidRPr="00217914">
        <w:rPr>
          <w:sz w:val="22"/>
        </w:rPr>
        <w:t xml:space="preserve"> (</w:t>
      </w:r>
      <w:r w:rsidR="00BE3FD4" w:rsidRPr="00217914">
        <w:rPr>
          <w:sz w:val="22"/>
        </w:rPr>
        <w:t>Fig.</w:t>
      </w:r>
      <w:r w:rsidR="006F611D" w:rsidRPr="00217914">
        <w:rPr>
          <w:sz w:val="22"/>
        </w:rPr>
        <w:t xml:space="preserve"> 1)</w:t>
      </w:r>
      <w:r w:rsidRPr="00217914">
        <w:rPr>
          <w:sz w:val="22"/>
        </w:rPr>
        <w:t xml:space="preserve"> s’étend</w:t>
      </w:r>
      <w:r w:rsidRPr="00DA09B6">
        <w:rPr>
          <w:sz w:val="22"/>
        </w:rPr>
        <w:t xml:space="preserve"> du nord au sud dans l’ouest ivoirien, entre </w:t>
      </w:r>
      <w:r w:rsidR="00CD7033" w:rsidRPr="00DA09B6">
        <w:rPr>
          <w:sz w:val="22"/>
        </w:rPr>
        <w:t>les coordonnées latitude 9°45’et 4°55’nord</w:t>
      </w:r>
      <w:r w:rsidRPr="00DA09B6">
        <w:rPr>
          <w:sz w:val="22"/>
        </w:rPr>
        <w:t xml:space="preserve"> et longitude </w:t>
      </w:r>
      <w:r w:rsidR="00CD7033" w:rsidRPr="00DA09B6">
        <w:rPr>
          <w:sz w:val="22"/>
        </w:rPr>
        <w:t>8°45’et 5°45’ouest</w:t>
      </w:r>
      <w:r w:rsidRPr="00DA09B6">
        <w:rPr>
          <w:sz w:val="22"/>
        </w:rPr>
        <w:t>.</w:t>
      </w:r>
      <w:r w:rsidR="00CD7033" w:rsidRPr="00DA09B6">
        <w:rPr>
          <w:sz w:val="22"/>
        </w:rPr>
        <w:t xml:space="preserve"> </w:t>
      </w:r>
      <w:r w:rsidRPr="00DA09B6">
        <w:rPr>
          <w:sz w:val="22"/>
        </w:rPr>
        <w:t xml:space="preserve">Le Sassandra prend sa source en Guinée, au sud-est de Beyla, au nord-ouest des Monts Tetini, vers 700 m d’altitude. Après un parcours de 300 km </w:t>
      </w:r>
      <w:r w:rsidRPr="00DA09B6">
        <w:rPr>
          <w:sz w:val="22"/>
        </w:rPr>
        <w:lastRenderedPageBreak/>
        <w:t>orienté ouest-est et caractérisé par une pente moyenne de 0.14% et la présence de nombreux rapides, il oblique brutalement vers le sud après avoir reçu son premier affluent important en rive gauche, le Boa.</w:t>
      </w:r>
    </w:p>
    <w:p w:rsidR="00EA66B6" w:rsidRPr="00DA09B6" w:rsidRDefault="00EA66B6" w:rsidP="00EA66B6">
      <w:pPr>
        <w:jc w:val="both"/>
        <w:rPr>
          <w:sz w:val="22"/>
        </w:rPr>
      </w:pPr>
    </w:p>
    <w:p w:rsidR="00EA66B6" w:rsidRPr="00DA09B6" w:rsidRDefault="00EA66B6" w:rsidP="00EA66B6">
      <w:pPr>
        <w:jc w:val="both"/>
        <w:rPr>
          <w:sz w:val="22"/>
        </w:rPr>
      </w:pPr>
      <w:r w:rsidRPr="00DA09B6">
        <w:rPr>
          <w:sz w:val="22"/>
        </w:rPr>
        <w:t>S’écoulant plein sud sur environ 200 km, il reçoit respectivement en rive droite les affluents Bafing, qui vient de Guinée, et N’zo qui draine les régions montagneuses de Man. La pente moyenne sur ce bief est de 0.04%. Depuis la construction du barrage de Buyo, le lac de retenue ennoie la confluence du Sassandra et du N’</w:t>
      </w:r>
      <w:r w:rsidR="005A6A13">
        <w:rPr>
          <w:sz w:val="22"/>
        </w:rPr>
        <w:t>zo et étend ses bras le long de ces deux</w:t>
      </w:r>
      <w:r w:rsidRPr="00DA09B6">
        <w:rPr>
          <w:sz w:val="22"/>
        </w:rPr>
        <w:t xml:space="preserve"> vallées. </w:t>
      </w:r>
    </w:p>
    <w:p w:rsidR="00EA66B6" w:rsidRPr="00DA09B6" w:rsidRDefault="00EA66B6" w:rsidP="00EA66B6">
      <w:pPr>
        <w:jc w:val="both"/>
        <w:rPr>
          <w:sz w:val="22"/>
        </w:rPr>
      </w:pPr>
      <w:r w:rsidRPr="00DA09B6">
        <w:rPr>
          <w:sz w:val="22"/>
        </w:rPr>
        <w:t xml:space="preserve">A l’aval de Buyo, le Sassandra coule vers le sud-est. Il reçoit en rive gauche successivement le Lobo et, quelques kilomètres avant son </w:t>
      </w:r>
      <w:r w:rsidR="00DA09B6" w:rsidRPr="00DA09B6">
        <w:rPr>
          <w:sz w:val="22"/>
        </w:rPr>
        <w:t>embouchure, le</w:t>
      </w:r>
      <w:r w:rsidRPr="00DA09B6">
        <w:rPr>
          <w:sz w:val="22"/>
        </w:rPr>
        <w:t xml:space="preserve"> Davo. La pente s’est redressée, le lit s’encombre de nombreuses îles et plusieurs rapides se succèdent entre Soubré et l’embouchure, comme ceux de </w:t>
      </w:r>
      <w:r w:rsidR="002C0C58">
        <w:rPr>
          <w:sz w:val="22"/>
        </w:rPr>
        <w:t>Soubré</w:t>
      </w:r>
      <w:r w:rsidR="00B35F4A">
        <w:rPr>
          <w:sz w:val="22"/>
        </w:rPr>
        <w:t xml:space="preserve"> (chûtes de la Nawa)</w:t>
      </w:r>
      <w:r w:rsidRPr="00DA09B6">
        <w:rPr>
          <w:sz w:val="22"/>
        </w:rPr>
        <w:t>, Gribo-Popoli, Bouloubré ou Louga. Le Sassandra totalise une longueur de 840 km environ et un bassin versant de 75 000 km².</w:t>
      </w:r>
    </w:p>
    <w:p w:rsidR="00EA66B6" w:rsidRPr="00DA09B6" w:rsidRDefault="00EA66B6" w:rsidP="00EA66B6">
      <w:pPr>
        <w:jc w:val="both"/>
        <w:rPr>
          <w:sz w:val="22"/>
        </w:rPr>
      </w:pPr>
    </w:p>
    <w:p w:rsidR="00CD7033" w:rsidRPr="00DA09B6" w:rsidRDefault="00CD7033" w:rsidP="00EA66B6">
      <w:pPr>
        <w:jc w:val="both"/>
        <w:rPr>
          <w:sz w:val="22"/>
        </w:rPr>
      </w:pPr>
      <w:r w:rsidRPr="00DA09B6">
        <w:rPr>
          <w:sz w:val="22"/>
        </w:rPr>
        <w:t>Le bassin versant du Sassandra est soumis à différentes influences climatiques. Le nord du bassin délimité par la latitude 8°N est caractérisé par le régime tropical de transition avec une saison des pluies bien marquée de juin à octobre et une saison sèche de novembre à avril. La végétation y est caractéristique du domaine soudanais, dominée par la savane arbustive à la forêt claire sèche avec présence d’enclaves de forêt dense sèche. Il s’agit d’une région principalement à vocation agro-pastorale.</w:t>
      </w:r>
    </w:p>
    <w:p w:rsidR="00CD7033" w:rsidRPr="00DA09B6" w:rsidRDefault="00CD7033" w:rsidP="00EA66B6">
      <w:pPr>
        <w:jc w:val="both"/>
        <w:rPr>
          <w:sz w:val="22"/>
        </w:rPr>
      </w:pPr>
    </w:p>
    <w:p w:rsidR="00CD7033" w:rsidRPr="00DA09B6" w:rsidRDefault="00CD7033" w:rsidP="00EA66B6">
      <w:pPr>
        <w:jc w:val="both"/>
        <w:rPr>
          <w:sz w:val="22"/>
        </w:rPr>
      </w:pPr>
      <w:r w:rsidRPr="00DA09B6">
        <w:rPr>
          <w:sz w:val="22"/>
        </w:rPr>
        <w:t>La région entre les latitudes 8°N et 5°45’N (au niveau de Soubré) est caractérisée par un régime équatorial de transition atténué. Une première saison des pluies est observée de mars à juin, suivie d’un ralentissement entre juillet et août et enfin d’une seconde saison des pluies de septembre à octobre. La saison sèche, entre novembre et février, est assez bien marqu</w:t>
      </w:r>
      <w:r w:rsidR="00C320B4">
        <w:rPr>
          <w:sz w:val="22"/>
        </w:rPr>
        <w:t>ée. Le couvert végétal est celui</w:t>
      </w:r>
      <w:r w:rsidRPr="00DA09B6">
        <w:rPr>
          <w:sz w:val="22"/>
        </w:rPr>
        <w:t xml:space="preserve"> du domaine guinéen avec un mix de savane et forêt plus ou moins dégradée.</w:t>
      </w:r>
    </w:p>
    <w:p w:rsidR="00C320B4" w:rsidRDefault="00C320B4" w:rsidP="00EA66B6">
      <w:pPr>
        <w:jc w:val="both"/>
        <w:rPr>
          <w:sz w:val="22"/>
        </w:rPr>
      </w:pPr>
    </w:p>
    <w:p w:rsidR="00CD7033" w:rsidRPr="00DA09B6" w:rsidRDefault="00CD7033" w:rsidP="00EA66B6">
      <w:pPr>
        <w:jc w:val="both"/>
        <w:rPr>
          <w:sz w:val="22"/>
        </w:rPr>
      </w:pPr>
      <w:r w:rsidRPr="00DA09B6">
        <w:rPr>
          <w:sz w:val="22"/>
        </w:rPr>
        <w:t xml:space="preserve">Dans la région du bas-Sassandra, au sud de Soubré, domine le régime équatorial de transition caractérisé par l’alternance de deux saisons sèches (août à septembre et décembre à mars) et deux saisons humides (avril à juillet et octobre à novembre). Cette zone forestière est largement dédiée aux cultures à forte valeur ajoutée comme le cacao et </w:t>
      </w:r>
      <w:r w:rsidR="00DA09B6" w:rsidRPr="00DA09B6">
        <w:rPr>
          <w:sz w:val="22"/>
        </w:rPr>
        <w:t>le</w:t>
      </w:r>
      <w:r w:rsidRPr="00DA09B6">
        <w:rPr>
          <w:sz w:val="22"/>
        </w:rPr>
        <w:t xml:space="preserve"> café.</w:t>
      </w:r>
    </w:p>
    <w:p w:rsidR="00CD7033" w:rsidRPr="00DA09B6" w:rsidRDefault="00CD7033" w:rsidP="00EA66B6">
      <w:pPr>
        <w:jc w:val="both"/>
        <w:rPr>
          <w:sz w:val="22"/>
        </w:rPr>
      </w:pPr>
    </w:p>
    <w:p w:rsidR="00EA66B6" w:rsidRPr="00DA09B6" w:rsidRDefault="00CD7033" w:rsidP="00EA66B6">
      <w:pPr>
        <w:jc w:val="both"/>
        <w:rPr>
          <w:sz w:val="22"/>
        </w:rPr>
      </w:pPr>
      <w:r w:rsidRPr="00DA09B6">
        <w:rPr>
          <w:sz w:val="22"/>
        </w:rPr>
        <w:t xml:space="preserve">Enfin, la région de Man est </w:t>
      </w:r>
      <w:r w:rsidR="00DA09B6" w:rsidRPr="00DA09B6">
        <w:rPr>
          <w:sz w:val="22"/>
        </w:rPr>
        <w:t>soumise</w:t>
      </w:r>
      <w:r w:rsidRPr="00DA09B6">
        <w:rPr>
          <w:sz w:val="22"/>
        </w:rPr>
        <w:t xml:space="preserve"> à un régime climatique spécifique lié au relief: le régime de montagne. Il est caractérisé par une saison des pluies assez longue de mars à octobre et une courte saison sèche de novembre à février.</w:t>
      </w:r>
    </w:p>
    <w:p w:rsidR="00CD7033" w:rsidRPr="00DA09B6" w:rsidRDefault="00CD7033" w:rsidP="00EA66B6">
      <w:pPr>
        <w:jc w:val="both"/>
        <w:rPr>
          <w:sz w:val="22"/>
        </w:rPr>
      </w:pPr>
    </w:p>
    <w:p w:rsidR="00CD7033" w:rsidRPr="00DA09B6" w:rsidRDefault="00CD7033" w:rsidP="00EA66B6">
      <w:pPr>
        <w:jc w:val="both"/>
        <w:rPr>
          <w:sz w:val="22"/>
        </w:rPr>
      </w:pPr>
      <w:r w:rsidRPr="00DA09B6">
        <w:rPr>
          <w:sz w:val="22"/>
        </w:rPr>
        <w:t>Pour finir, il faut souligner la présence à l’intérieur du bassin versant du fleuve Sassandra des parcs nationaux du Mont Sangbé et du Mont Péko, ainsi qu’une partie du parc national de la forêt de Tai à la lisière ouest du bas-Sassandra.</w:t>
      </w:r>
    </w:p>
    <w:p w:rsidR="00CD7033" w:rsidRDefault="00CD7033" w:rsidP="00EA66B6">
      <w:pPr>
        <w:jc w:val="both"/>
        <w:rPr>
          <w:sz w:val="22"/>
        </w:rPr>
      </w:pPr>
    </w:p>
    <w:p w:rsidR="00CD7033" w:rsidRPr="00DA09B6" w:rsidRDefault="002D0341" w:rsidP="002D0341">
      <w:pPr>
        <w:pStyle w:val="Titre2"/>
      </w:pPr>
      <w:r w:rsidRPr="00DA09B6">
        <w:t>Aménagement</w:t>
      </w:r>
    </w:p>
    <w:p w:rsidR="002D0341" w:rsidRPr="00DA09B6" w:rsidRDefault="002D0341" w:rsidP="00EA66B6">
      <w:pPr>
        <w:jc w:val="both"/>
        <w:rPr>
          <w:sz w:val="22"/>
        </w:rPr>
      </w:pPr>
    </w:p>
    <w:p w:rsidR="00385501" w:rsidRPr="00DA09B6" w:rsidRDefault="00385501" w:rsidP="00EA66B6">
      <w:pPr>
        <w:jc w:val="both"/>
        <w:rPr>
          <w:sz w:val="22"/>
          <w:szCs w:val="22"/>
        </w:rPr>
      </w:pPr>
      <w:r w:rsidRPr="00DA09B6">
        <w:rPr>
          <w:sz w:val="22"/>
          <w:szCs w:val="22"/>
        </w:rPr>
        <w:t xml:space="preserve">L’aménagement hydroélectrique du bassin du fleuve Sassandra a commencé au début des années 1980 avec la construction du barrage-réservoir de Buyo à vocation énergétique. Il est doté d’une retenue d’un volume total de </w:t>
      </w:r>
      <w:r w:rsidR="00370836" w:rsidRPr="00DA09B6">
        <w:rPr>
          <w:sz w:val="22"/>
          <w:szCs w:val="22"/>
        </w:rPr>
        <w:t>8</w:t>
      </w:r>
      <w:r w:rsidRPr="00DA09B6">
        <w:rPr>
          <w:sz w:val="22"/>
          <w:szCs w:val="22"/>
        </w:rPr>
        <w:t> milliards de m</w:t>
      </w:r>
      <w:r w:rsidRPr="00DA09B6">
        <w:rPr>
          <w:sz w:val="22"/>
          <w:szCs w:val="22"/>
          <w:vertAlign w:val="superscript"/>
        </w:rPr>
        <w:t>3</w:t>
      </w:r>
      <w:r w:rsidRPr="00DA09B6">
        <w:rPr>
          <w:sz w:val="22"/>
          <w:szCs w:val="22"/>
        </w:rPr>
        <w:t>, dont 6.5 milliards de m</w:t>
      </w:r>
      <w:r w:rsidRPr="00DA09B6">
        <w:rPr>
          <w:sz w:val="22"/>
          <w:szCs w:val="22"/>
          <w:vertAlign w:val="superscript"/>
        </w:rPr>
        <w:t>3</w:t>
      </w:r>
      <w:r w:rsidRPr="00DA09B6">
        <w:rPr>
          <w:sz w:val="22"/>
          <w:szCs w:val="22"/>
        </w:rPr>
        <w:t>de capacité utile, soit environ la moitié de l’apport brut moyen annuel. L’usine hydroélectrique située en pied de barrage est équipée de trois groupes Kaplan de puissance nominale 55 MW, soit un</w:t>
      </w:r>
      <w:r w:rsidR="00370836" w:rsidRPr="00DA09B6">
        <w:rPr>
          <w:sz w:val="22"/>
          <w:szCs w:val="22"/>
        </w:rPr>
        <w:t xml:space="preserve">e puissance </w:t>
      </w:r>
      <w:r w:rsidRPr="00DA09B6">
        <w:rPr>
          <w:sz w:val="22"/>
          <w:szCs w:val="22"/>
        </w:rPr>
        <w:t>total</w:t>
      </w:r>
      <w:r w:rsidR="00370836" w:rsidRPr="00DA09B6">
        <w:rPr>
          <w:sz w:val="22"/>
          <w:szCs w:val="22"/>
        </w:rPr>
        <w:t>e installée</w:t>
      </w:r>
      <w:r w:rsidRPr="00DA09B6">
        <w:rPr>
          <w:sz w:val="22"/>
          <w:szCs w:val="22"/>
        </w:rPr>
        <w:t xml:space="preserve"> de 165 MW.</w:t>
      </w:r>
      <w:r w:rsidR="00370836" w:rsidRPr="00DA09B6">
        <w:rPr>
          <w:sz w:val="22"/>
          <w:szCs w:val="22"/>
        </w:rPr>
        <w:t xml:space="preserve"> Le produ</w:t>
      </w:r>
      <w:r w:rsidR="0042014E" w:rsidRPr="00DA09B6">
        <w:rPr>
          <w:sz w:val="22"/>
          <w:szCs w:val="22"/>
        </w:rPr>
        <w:t>ctible moyen annuel s’élève à 80</w:t>
      </w:r>
      <w:r w:rsidR="00370836" w:rsidRPr="00DA09B6">
        <w:rPr>
          <w:sz w:val="22"/>
          <w:szCs w:val="22"/>
        </w:rPr>
        <w:t>0 GWh/an.</w:t>
      </w:r>
    </w:p>
    <w:p w:rsidR="00385501" w:rsidRPr="00DA09B6" w:rsidRDefault="00385501" w:rsidP="00EA66B6">
      <w:pPr>
        <w:jc w:val="both"/>
        <w:rPr>
          <w:sz w:val="22"/>
          <w:szCs w:val="22"/>
        </w:rPr>
      </w:pPr>
    </w:p>
    <w:p w:rsidR="002D0341" w:rsidRPr="00DA09B6" w:rsidRDefault="00370836" w:rsidP="00EA66B6">
      <w:pPr>
        <w:jc w:val="both"/>
        <w:rPr>
          <w:sz w:val="22"/>
          <w:szCs w:val="22"/>
        </w:rPr>
      </w:pPr>
      <w:r w:rsidRPr="00DA09B6">
        <w:rPr>
          <w:sz w:val="22"/>
          <w:szCs w:val="22"/>
        </w:rPr>
        <w:t xml:space="preserve">La valorisation du potentiel hydroélectrique du fleuve Sassandra </w:t>
      </w:r>
      <w:r w:rsidR="00385501" w:rsidRPr="00DA09B6">
        <w:rPr>
          <w:sz w:val="22"/>
          <w:szCs w:val="22"/>
        </w:rPr>
        <w:t xml:space="preserve">se poursuit avec la construction </w:t>
      </w:r>
      <w:r w:rsidRPr="00DA09B6">
        <w:rPr>
          <w:sz w:val="22"/>
          <w:szCs w:val="22"/>
        </w:rPr>
        <w:t>initiée en 2013</w:t>
      </w:r>
      <w:r w:rsidR="00385501" w:rsidRPr="00DA09B6">
        <w:rPr>
          <w:sz w:val="22"/>
          <w:szCs w:val="22"/>
        </w:rPr>
        <w:t>du barrage de Soubré</w:t>
      </w:r>
      <w:r w:rsidRPr="00DA09B6">
        <w:rPr>
          <w:sz w:val="22"/>
          <w:szCs w:val="22"/>
        </w:rPr>
        <w:t>, au niveau des chutes de la Nawa, dans le cours inférieur du Sassandra. Il s’agit d’</w:t>
      </w:r>
      <w:r w:rsidR="00385501" w:rsidRPr="00DA09B6">
        <w:rPr>
          <w:sz w:val="22"/>
          <w:szCs w:val="22"/>
        </w:rPr>
        <w:t>un aménagement au fil de l’eau</w:t>
      </w:r>
      <w:r w:rsidRPr="00DA09B6">
        <w:rPr>
          <w:sz w:val="22"/>
          <w:szCs w:val="22"/>
        </w:rPr>
        <w:t xml:space="preserve"> doté d’une usine principale équipée de trois groupes Francis</w:t>
      </w:r>
      <w:r w:rsidR="00385501" w:rsidRPr="00DA09B6">
        <w:rPr>
          <w:sz w:val="22"/>
          <w:szCs w:val="22"/>
        </w:rPr>
        <w:t xml:space="preserve"> de </w:t>
      </w:r>
      <w:r w:rsidRPr="00DA09B6">
        <w:rPr>
          <w:sz w:val="22"/>
          <w:szCs w:val="22"/>
        </w:rPr>
        <w:t>puissance nominale 90 MW.</w:t>
      </w:r>
      <w:r w:rsidR="00385501" w:rsidRPr="00DA09B6">
        <w:rPr>
          <w:sz w:val="22"/>
          <w:szCs w:val="22"/>
        </w:rPr>
        <w:t xml:space="preserve"> </w:t>
      </w:r>
      <w:r w:rsidRPr="00DA09B6">
        <w:rPr>
          <w:sz w:val="22"/>
          <w:szCs w:val="22"/>
        </w:rPr>
        <w:t>Une mini-centrale de capacité 5.3 MW est également prévue pour valoriser le débit réservé de 50 m</w:t>
      </w:r>
      <w:r w:rsidRPr="00DA09B6">
        <w:rPr>
          <w:sz w:val="22"/>
          <w:szCs w:val="22"/>
          <w:vertAlign w:val="superscript"/>
        </w:rPr>
        <w:t>3</w:t>
      </w:r>
      <w:r w:rsidRPr="00DA09B6">
        <w:rPr>
          <w:sz w:val="22"/>
          <w:szCs w:val="22"/>
        </w:rPr>
        <w:t xml:space="preserve">/s. Lui-même dépourvu d’une capacité significative de stockage, l’aménagement de Soubré </w:t>
      </w:r>
      <w:r w:rsidRPr="00DA09B6">
        <w:rPr>
          <w:sz w:val="22"/>
          <w:szCs w:val="22"/>
        </w:rPr>
        <w:lastRenderedPageBreak/>
        <w:t xml:space="preserve">bénéficie de la régularisation saisonnière des débits du Sassandra effectuée à l’amont par le barrage-réservoir de Buyo. Le productible moyen annuel </w:t>
      </w:r>
      <w:r w:rsidR="00B35F4A">
        <w:rPr>
          <w:sz w:val="22"/>
          <w:szCs w:val="22"/>
        </w:rPr>
        <w:t xml:space="preserve">attendu </w:t>
      </w:r>
      <w:r w:rsidRPr="00DA09B6">
        <w:rPr>
          <w:sz w:val="22"/>
          <w:szCs w:val="22"/>
        </w:rPr>
        <w:t>à Soubré est estimé à environ 1 200 GWh/an.</w:t>
      </w:r>
    </w:p>
    <w:p w:rsidR="00370836" w:rsidRPr="00DA09B6" w:rsidRDefault="00370836" w:rsidP="00EA66B6">
      <w:pPr>
        <w:jc w:val="both"/>
        <w:rPr>
          <w:sz w:val="22"/>
          <w:szCs w:val="22"/>
        </w:rPr>
      </w:pPr>
    </w:p>
    <w:p w:rsidR="00370836" w:rsidRPr="00DA09B6" w:rsidRDefault="00DA1748" w:rsidP="00EA66B6">
      <w:pPr>
        <w:jc w:val="both"/>
        <w:rPr>
          <w:sz w:val="22"/>
        </w:rPr>
      </w:pPr>
      <w:r w:rsidRPr="00DA09B6">
        <w:rPr>
          <w:sz w:val="22"/>
        </w:rPr>
        <w:t>Identifiés lors de l’inventaire EDF de 1979, les sites qui suscitent aujourd’hui des perspectives d’investissement sont situés en partie à l’amont de Buyo (Gao et Koulikoro sur la Bafing, Tayaboui</w:t>
      </w:r>
      <w:r w:rsidR="00B35F4A">
        <w:rPr>
          <w:sz w:val="22"/>
        </w:rPr>
        <w:t xml:space="preserve"> sur le Sassandra</w:t>
      </w:r>
      <w:r w:rsidRPr="00DA09B6">
        <w:rPr>
          <w:sz w:val="22"/>
        </w:rPr>
        <w:t>) et en partie à l’aval de Soubré (Gribo-Popoli, Boutoubré et Louga), dans le cours inférieur du Sassandra.</w:t>
      </w:r>
    </w:p>
    <w:p w:rsidR="00DA1748" w:rsidRPr="00DA09B6" w:rsidRDefault="00DA1748" w:rsidP="00EA66B6">
      <w:pPr>
        <w:jc w:val="both"/>
        <w:rPr>
          <w:sz w:val="22"/>
        </w:rPr>
      </w:pPr>
    </w:p>
    <w:p w:rsidR="00DA1748" w:rsidRPr="00DA09B6" w:rsidRDefault="00DA1748" w:rsidP="00EA66B6">
      <w:pPr>
        <w:jc w:val="both"/>
        <w:rPr>
          <w:sz w:val="22"/>
        </w:rPr>
      </w:pPr>
      <w:r w:rsidRPr="00DA09B6">
        <w:rPr>
          <w:sz w:val="22"/>
        </w:rPr>
        <w:t>Ces projets interagissent entre eux et avec les ouvrages existants et en construction. Les projets situés à l’amont de Buyo nécessitent une capacité de stockage et pourraient donc modifier la répartition saisonnière des débits entrants dans la retenue du Buyo. Il convient donc d’en analyser les conséquences sur le mode de gestion actuel du réservoir de Buyo et ses performances én</w:t>
      </w:r>
      <w:r w:rsidR="00C320B4">
        <w:rPr>
          <w:sz w:val="22"/>
        </w:rPr>
        <w:t>ergétiques. Les projets situés</w:t>
      </w:r>
      <w:r w:rsidRPr="00DA09B6">
        <w:rPr>
          <w:sz w:val="22"/>
        </w:rPr>
        <w:t xml:space="preserve"> dans le cours inférieur du Sassandra seraient, à l’image de Soubré, des aménagements au fil de l’eau. Les apports hydrologiqu</w:t>
      </w:r>
      <w:r w:rsidR="00C320B4">
        <w:rPr>
          <w:sz w:val="22"/>
        </w:rPr>
        <w:t>es à</w:t>
      </w:r>
      <w:r w:rsidRPr="00DA09B6">
        <w:rPr>
          <w:sz w:val="22"/>
        </w:rPr>
        <w:t xml:space="preserve"> ces </w:t>
      </w:r>
      <w:r w:rsidR="00C320B4">
        <w:rPr>
          <w:sz w:val="22"/>
        </w:rPr>
        <w:t>sites</w:t>
      </w:r>
      <w:r w:rsidRPr="00DA09B6">
        <w:rPr>
          <w:sz w:val="22"/>
        </w:rPr>
        <w:t xml:space="preserve"> sont en partie contrôlés par les débits </w:t>
      </w:r>
      <w:r w:rsidR="00DA09B6" w:rsidRPr="00DA09B6">
        <w:rPr>
          <w:sz w:val="22"/>
        </w:rPr>
        <w:t>relâchés</w:t>
      </w:r>
      <w:r w:rsidRPr="00DA09B6">
        <w:rPr>
          <w:sz w:val="22"/>
        </w:rPr>
        <w:t xml:space="preserve"> par Buyo et en partie </w:t>
      </w:r>
      <w:r w:rsidR="00DE22CB" w:rsidRPr="00DA09B6">
        <w:rPr>
          <w:sz w:val="22"/>
        </w:rPr>
        <w:t>du</w:t>
      </w:r>
      <w:r w:rsidR="00DE22CB">
        <w:rPr>
          <w:sz w:val="22"/>
        </w:rPr>
        <w:t>s</w:t>
      </w:r>
      <w:r w:rsidRPr="00DA09B6">
        <w:rPr>
          <w:sz w:val="22"/>
        </w:rPr>
        <w:t xml:space="preserve"> à la contribution naturelle du bassin versant intermédiaire entre Buyo et les sites de projets.</w:t>
      </w:r>
    </w:p>
    <w:p w:rsidR="00DA1748" w:rsidRPr="00DA09B6" w:rsidRDefault="00DA1748" w:rsidP="00EA66B6">
      <w:pPr>
        <w:jc w:val="both"/>
        <w:rPr>
          <w:sz w:val="22"/>
        </w:rPr>
      </w:pPr>
    </w:p>
    <w:p w:rsidR="00DA1748" w:rsidRPr="00DA09B6" w:rsidRDefault="0035499E" w:rsidP="0035499E">
      <w:pPr>
        <w:pStyle w:val="Titre1"/>
      </w:pPr>
      <w:r w:rsidRPr="00DA09B6">
        <w:t>Données et méthodes</w:t>
      </w:r>
    </w:p>
    <w:p w:rsidR="0035499E" w:rsidRPr="00DA09B6" w:rsidRDefault="0035499E" w:rsidP="00EA66B6">
      <w:pPr>
        <w:jc w:val="both"/>
        <w:rPr>
          <w:sz w:val="22"/>
          <w:szCs w:val="22"/>
        </w:rPr>
      </w:pPr>
    </w:p>
    <w:p w:rsidR="00345418" w:rsidRPr="00DA09B6" w:rsidRDefault="00345418" w:rsidP="00345418">
      <w:pPr>
        <w:pStyle w:val="Titre2"/>
      </w:pPr>
      <w:r w:rsidRPr="00DA09B6">
        <w:t>Données météorologiques</w:t>
      </w:r>
    </w:p>
    <w:p w:rsidR="00345418" w:rsidRPr="00DA09B6" w:rsidRDefault="00345418" w:rsidP="00EA66B6">
      <w:pPr>
        <w:jc w:val="both"/>
        <w:rPr>
          <w:sz w:val="22"/>
          <w:szCs w:val="22"/>
        </w:rPr>
      </w:pPr>
    </w:p>
    <w:p w:rsidR="00A507EA" w:rsidRDefault="00654452" w:rsidP="00EA66B6">
      <w:pPr>
        <w:jc w:val="both"/>
        <w:rPr>
          <w:sz w:val="22"/>
          <w:szCs w:val="22"/>
        </w:rPr>
      </w:pPr>
      <w:r w:rsidRPr="00DA09B6">
        <w:rPr>
          <w:sz w:val="22"/>
          <w:szCs w:val="22"/>
        </w:rPr>
        <w:t>Les données de pluie de d’évapotranspiration potentielle (ETP) proviennent de la base de données de la Climatic Research Unit (CRU) de l’Université d’East Anglia à Norwich</w:t>
      </w:r>
      <w:r w:rsidR="009237A9" w:rsidRPr="00DA09B6">
        <w:rPr>
          <w:sz w:val="22"/>
          <w:szCs w:val="22"/>
        </w:rPr>
        <w:t xml:space="preserve"> </w:t>
      </w:r>
      <w:sdt>
        <w:sdtPr>
          <w:rPr>
            <w:sz w:val="22"/>
            <w:szCs w:val="22"/>
          </w:rPr>
          <w:id w:val="1488595150"/>
          <w:citation/>
        </w:sdtPr>
        <w:sdtEndPr/>
        <w:sdtContent>
          <w:r w:rsidR="009237A9" w:rsidRPr="00DA09B6">
            <w:rPr>
              <w:sz w:val="22"/>
              <w:szCs w:val="22"/>
            </w:rPr>
            <w:fldChar w:fldCharType="begin"/>
          </w:r>
          <w:r w:rsidR="009237A9" w:rsidRPr="00DA09B6">
            <w:rPr>
              <w:sz w:val="22"/>
              <w:szCs w:val="22"/>
            </w:rPr>
            <w:instrText xml:space="preserve"> CITATION New \l 1036 </w:instrText>
          </w:r>
          <w:r w:rsidR="009237A9" w:rsidRPr="00DA09B6">
            <w:rPr>
              <w:sz w:val="22"/>
              <w:szCs w:val="22"/>
            </w:rPr>
            <w:fldChar w:fldCharType="separate"/>
          </w:r>
          <w:r w:rsidR="009237A9" w:rsidRPr="00DA09B6">
            <w:rPr>
              <w:noProof/>
              <w:sz w:val="22"/>
              <w:szCs w:val="22"/>
            </w:rPr>
            <w:t>(New, et al., 2000)</w:t>
          </w:r>
          <w:r w:rsidR="009237A9" w:rsidRPr="00DA09B6">
            <w:rPr>
              <w:sz w:val="22"/>
              <w:szCs w:val="22"/>
            </w:rPr>
            <w:fldChar w:fldCharType="end"/>
          </w:r>
        </w:sdtContent>
      </w:sdt>
      <w:r w:rsidRPr="00DA09B6">
        <w:rPr>
          <w:sz w:val="22"/>
          <w:szCs w:val="22"/>
        </w:rPr>
        <w:t xml:space="preserve">. Il s’agit des grilles de pluies et d’ETP mensuelles au pas d’un </w:t>
      </w:r>
      <w:r w:rsidR="00DA09B6" w:rsidRPr="00DA09B6">
        <w:rPr>
          <w:sz w:val="22"/>
          <w:szCs w:val="22"/>
        </w:rPr>
        <w:t>demi-degré</w:t>
      </w:r>
      <w:r w:rsidRPr="00DA09B6">
        <w:rPr>
          <w:sz w:val="22"/>
          <w:szCs w:val="22"/>
        </w:rPr>
        <w:t xml:space="preserve"> carré pour la période 1951-2013. Leurs principales sources de données sont les agences météorologiques nationales, le National Climatic Data Center (NCDC), la World Meteorological Organisation (WMO) et d’autres s</w:t>
      </w:r>
      <w:r w:rsidR="009237A9" w:rsidRPr="00DA09B6">
        <w:rPr>
          <w:sz w:val="22"/>
          <w:szCs w:val="22"/>
        </w:rPr>
        <w:t xml:space="preserve">ources publiées </w:t>
      </w:r>
      <w:sdt>
        <w:sdtPr>
          <w:rPr>
            <w:sz w:val="22"/>
            <w:szCs w:val="22"/>
          </w:rPr>
          <w:id w:val="-1901974224"/>
          <w:citation/>
        </w:sdtPr>
        <w:sdtEndPr/>
        <w:sdtContent>
          <w:r w:rsidR="009237A9" w:rsidRPr="00DA09B6">
            <w:rPr>
              <w:sz w:val="22"/>
              <w:szCs w:val="22"/>
            </w:rPr>
            <w:fldChar w:fldCharType="begin"/>
          </w:r>
          <w:r w:rsidR="009237A9" w:rsidRPr="00DA09B6">
            <w:rPr>
              <w:sz w:val="22"/>
              <w:szCs w:val="22"/>
            </w:rPr>
            <w:instrText xml:space="preserve"> CITATION New \l 1036 </w:instrText>
          </w:r>
          <w:r w:rsidR="009237A9" w:rsidRPr="00DA09B6">
            <w:rPr>
              <w:sz w:val="22"/>
              <w:szCs w:val="22"/>
            </w:rPr>
            <w:fldChar w:fldCharType="separate"/>
          </w:r>
          <w:r w:rsidR="009237A9" w:rsidRPr="00DA09B6">
            <w:rPr>
              <w:noProof/>
              <w:sz w:val="22"/>
              <w:szCs w:val="22"/>
            </w:rPr>
            <w:t>(New, et al., 2000)</w:t>
          </w:r>
          <w:r w:rsidR="009237A9" w:rsidRPr="00DA09B6">
            <w:rPr>
              <w:sz w:val="22"/>
              <w:szCs w:val="22"/>
            </w:rPr>
            <w:fldChar w:fldCharType="end"/>
          </w:r>
        </w:sdtContent>
      </w:sdt>
      <w:r w:rsidRPr="00DA09B6">
        <w:rPr>
          <w:sz w:val="22"/>
          <w:szCs w:val="22"/>
        </w:rPr>
        <w:t>.</w:t>
      </w:r>
    </w:p>
    <w:p w:rsidR="00A507EA" w:rsidRDefault="00A507EA" w:rsidP="00EA66B6">
      <w:pPr>
        <w:jc w:val="both"/>
        <w:rPr>
          <w:sz w:val="22"/>
          <w:szCs w:val="22"/>
        </w:rPr>
      </w:pPr>
    </w:p>
    <w:p w:rsidR="00654452" w:rsidRPr="00DA09B6" w:rsidRDefault="00654452" w:rsidP="00EA66B6">
      <w:pPr>
        <w:jc w:val="both"/>
        <w:rPr>
          <w:sz w:val="22"/>
          <w:szCs w:val="22"/>
        </w:rPr>
      </w:pPr>
      <w:r w:rsidRPr="00DA09B6">
        <w:rPr>
          <w:sz w:val="22"/>
          <w:szCs w:val="22"/>
        </w:rPr>
        <w:t>Les grilles de pluie ont été obtenues par interpolation selon la longitude et la latitude (fonction Spline) d’une sélecti</w:t>
      </w:r>
      <w:r w:rsidR="00A72A35">
        <w:rPr>
          <w:sz w:val="22"/>
          <w:szCs w:val="22"/>
        </w:rPr>
        <w:t xml:space="preserve">on de stations pluviométriques </w:t>
      </w:r>
      <w:proofErr w:type="spellStart"/>
      <w:r w:rsidRPr="00DA09B6">
        <w:rPr>
          <w:sz w:val="22"/>
          <w:szCs w:val="22"/>
        </w:rPr>
        <w:t>retenue</w:t>
      </w:r>
      <w:r w:rsidR="005358DA">
        <w:rPr>
          <w:sz w:val="22"/>
          <w:szCs w:val="22"/>
        </w:rPr>
        <w:t>es</w:t>
      </w:r>
      <w:proofErr w:type="spellEnd"/>
      <w:r w:rsidRPr="00DA09B6">
        <w:rPr>
          <w:sz w:val="22"/>
          <w:szCs w:val="22"/>
        </w:rPr>
        <w:t xml:space="preserve"> pour la qualité et la longueur des séries d’observation.</w:t>
      </w:r>
      <w:r w:rsidR="00A72A35">
        <w:rPr>
          <w:sz w:val="22"/>
          <w:szCs w:val="22"/>
        </w:rPr>
        <w:t xml:space="preserve"> </w:t>
      </w:r>
      <w:r w:rsidRPr="00DA09B6">
        <w:rPr>
          <w:sz w:val="22"/>
          <w:szCs w:val="22"/>
        </w:rPr>
        <w:t xml:space="preserve">Les grilles d’ETP ont été calculées de façon similaire sur la base de la formule </w:t>
      </w:r>
      <w:r w:rsidR="009237A9" w:rsidRPr="00DA09B6">
        <w:rPr>
          <w:sz w:val="22"/>
          <w:szCs w:val="22"/>
        </w:rPr>
        <w:t xml:space="preserve">de Penman-Monteith </w:t>
      </w:r>
      <w:sdt>
        <w:sdtPr>
          <w:rPr>
            <w:sz w:val="22"/>
            <w:szCs w:val="22"/>
          </w:rPr>
          <w:id w:val="628296252"/>
          <w:citation/>
        </w:sdtPr>
        <w:sdtEndPr/>
        <w:sdtContent>
          <w:r w:rsidR="009237A9" w:rsidRPr="00DA09B6">
            <w:rPr>
              <w:sz w:val="22"/>
              <w:szCs w:val="22"/>
            </w:rPr>
            <w:fldChar w:fldCharType="begin"/>
          </w:r>
          <w:r w:rsidR="009237A9" w:rsidRPr="00DA09B6">
            <w:rPr>
              <w:sz w:val="22"/>
              <w:szCs w:val="22"/>
            </w:rPr>
            <w:instrText xml:space="preserve"> CITATION Smi \l 1036 </w:instrText>
          </w:r>
          <w:r w:rsidR="009237A9" w:rsidRPr="00DA09B6">
            <w:rPr>
              <w:sz w:val="22"/>
              <w:szCs w:val="22"/>
            </w:rPr>
            <w:fldChar w:fldCharType="separate"/>
          </w:r>
          <w:r w:rsidR="009237A9" w:rsidRPr="00DA09B6">
            <w:rPr>
              <w:noProof/>
              <w:sz w:val="22"/>
              <w:szCs w:val="22"/>
            </w:rPr>
            <w:t>(Smith, 1992)</w:t>
          </w:r>
          <w:r w:rsidR="009237A9" w:rsidRPr="00DA09B6">
            <w:rPr>
              <w:sz w:val="22"/>
              <w:szCs w:val="22"/>
            </w:rPr>
            <w:fldChar w:fldCharType="end"/>
          </w:r>
        </w:sdtContent>
      </w:sdt>
      <w:r w:rsidRPr="00DA09B6">
        <w:rPr>
          <w:sz w:val="22"/>
          <w:szCs w:val="22"/>
        </w:rPr>
        <w:t>.</w:t>
      </w:r>
    </w:p>
    <w:p w:rsidR="00370836" w:rsidRPr="00DA09B6" w:rsidRDefault="00370836" w:rsidP="00EA66B6">
      <w:pPr>
        <w:jc w:val="both"/>
        <w:rPr>
          <w:sz w:val="22"/>
          <w:szCs w:val="22"/>
        </w:rPr>
      </w:pPr>
    </w:p>
    <w:p w:rsidR="00345418" w:rsidRPr="00DA09B6" w:rsidRDefault="00345418" w:rsidP="00345418">
      <w:pPr>
        <w:pStyle w:val="Titre2"/>
      </w:pPr>
      <w:r w:rsidRPr="00DA09B6">
        <w:t>Données hydrométriques</w:t>
      </w:r>
    </w:p>
    <w:p w:rsidR="00345418" w:rsidRPr="00DA09B6" w:rsidRDefault="00345418" w:rsidP="00EA66B6">
      <w:pPr>
        <w:jc w:val="both"/>
        <w:rPr>
          <w:sz w:val="22"/>
        </w:rPr>
      </w:pPr>
    </w:p>
    <w:p w:rsidR="00A507EA" w:rsidRDefault="00654452" w:rsidP="00935428">
      <w:pPr>
        <w:jc w:val="both"/>
        <w:rPr>
          <w:sz w:val="22"/>
          <w:szCs w:val="22"/>
        </w:rPr>
      </w:pPr>
      <w:r w:rsidRPr="00935428">
        <w:rPr>
          <w:sz w:val="22"/>
          <w:szCs w:val="22"/>
        </w:rPr>
        <w:t xml:space="preserve">Les données hydrométriques proviennent de la </w:t>
      </w:r>
      <w:r w:rsidR="00DA09B6" w:rsidRPr="00935428">
        <w:rPr>
          <w:sz w:val="22"/>
          <w:szCs w:val="22"/>
        </w:rPr>
        <w:t>Sous-Direction</w:t>
      </w:r>
      <w:r w:rsidRPr="00935428">
        <w:rPr>
          <w:sz w:val="22"/>
          <w:szCs w:val="22"/>
        </w:rPr>
        <w:t xml:space="preserve"> de l’</w:t>
      </w:r>
      <w:r w:rsidR="00DA09B6" w:rsidRPr="00935428">
        <w:rPr>
          <w:sz w:val="22"/>
          <w:szCs w:val="22"/>
        </w:rPr>
        <w:t>Hydrologie, sous</w:t>
      </w:r>
      <w:r w:rsidRPr="00935428">
        <w:rPr>
          <w:sz w:val="22"/>
          <w:szCs w:val="22"/>
        </w:rPr>
        <w:t xml:space="preserve"> tutelle de la Direction de l’Hydraulique Humaine (DHH) par l’intermédiaire de la CIE. Ces données sont traitées directement par le service national ivoirien de l’hydrologie depuis la fin des années 1980 et l’étaient par l’Orstom auparavant. Les débits journaliers ont été </w:t>
      </w:r>
      <w:r w:rsidR="00DA09B6" w:rsidRPr="00935428">
        <w:rPr>
          <w:sz w:val="22"/>
          <w:szCs w:val="22"/>
        </w:rPr>
        <w:t>collectés</w:t>
      </w:r>
      <w:r w:rsidRPr="00935428">
        <w:rPr>
          <w:sz w:val="22"/>
          <w:szCs w:val="22"/>
        </w:rPr>
        <w:t xml:space="preserve"> aux stations de Bafingdala (6 195 km²), Guiglo (6 983 km²), </w:t>
      </w:r>
      <w:r w:rsidR="0033125C" w:rsidRPr="00935428">
        <w:rPr>
          <w:sz w:val="22"/>
          <w:szCs w:val="22"/>
        </w:rPr>
        <w:t xml:space="preserve">Piebli (32 462 km²), </w:t>
      </w:r>
      <w:r w:rsidRPr="00935428">
        <w:rPr>
          <w:sz w:val="22"/>
          <w:szCs w:val="22"/>
        </w:rPr>
        <w:t>Dakpadou (</w:t>
      </w:r>
      <w:r w:rsidR="00345418" w:rsidRPr="00935428">
        <w:rPr>
          <w:sz w:val="22"/>
          <w:szCs w:val="22"/>
        </w:rPr>
        <w:t>6 600 km²</w:t>
      </w:r>
      <w:r w:rsidRPr="00935428">
        <w:rPr>
          <w:sz w:val="22"/>
          <w:szCs w:val="22"/>
        </w:rPr>
        <w:t>), Loboville (</w:t>
      </w:r>
      <w:r w:rsidR="00345418" w:rsidRPr="00935428">
        <w:rPr>
          <w:sz w:val="22"/>
          <w:szCs w:val="22"/>
        </w:rPr>
        <w:t>12 693 km²</w:t>
      </w:r>
      <w:r w:rsidRPr="00935428">
        <w:rPr>
          <w:sz w:val="22"/>
          <w:szCs w:val="22"/>
        </w:rPr>
        <w:t>), Sémien (29 757 km²), Soubré (62 000 km²) et Gaoulou Pont (</w:t>
      </w:r>
      <w:r w:rsidR="00345418" w:rsidRPr="00935428">
        <w:rPr>
          <w:sz w:val="22"/>
          <w:szCs w:val="22"/>
        </w:rPr>
        <w:t>70 550 km²</w:t>
      </w:r>
      <w:r w:rsidRPr="00935428">
        <w:rPr>
          <w:sz w:val="22"/>
          <w:szCs w:val="22"/>
        </w:rPr>
        <w:t>).</w:t>
      </w:r>
    </w:p>
    <w:p w:rsidR="00A507EA" w:rsidRDefault="00A507EA" w:rsidP="00935428">
      <w:pPr>
        <w:jc w:val="both"/>
        <w:rPr>
          <w:sz w:val="22"/>
          <w:szCs w:val="22"/>
        </w:rPr>
      </w:pPr>
    </w:p>
    <w:p w:rsidR="00370836" w:rsidRPr="00935428" w:rsidRDefault="00345418" w:rsidP="00935428">
      <w:pPr>
        <w:jc w:val="both"/>
        <w:rPr>
          <w:sz w:val="22"/>
          <w:szCs w:val="22"/>
        </w:rPr>
      </w:pPr>
      <w:r w:rsidRPr="00935428">
        <w:rPr>
          <w:sz w:val="22"/>
          <w:szCs w:val="22"/>
        </w:rPr>
        <w:t xml:space="preserve">Les données ont été </w:t>
      </w:r>
      <w:r w:rsidR="00DA09B6" w:rsidRPr="00935428">
        <w:rPr>
          <w:sz w:val="22"/>
          <w:szCs w:val="22"/>
        </w:rPr>
        <w:t>agrégées</w:t>
      </w:r>
      <w:r w:rsidRPr="00935428">
        <w:rPr>
          <w:sz w:val="22"/>
          <w:szCs w:val="22"/>
        </w:rPr>
        <w:t xml:space="preserve"> au pas de temps mensuel lorsque qu’au moins 20 données journalières étaient </w:t>
      </w:r>
      <w:r w:rsidR="00DA09B6" w:rsidRPr="00935428">
        <w:rPr>
          <w:sz w:val="22"/>
          <w:szCs w:val="22"/>
        </w:rPr>
        <w:t>disponibles</w:t>
      </w:r>
      <w:r w:rsidRPr="00935428">
        <w:rPr>
          <w:sz w:val="22"/>
          <w:szCs w:val="22"/>
        </w:rPr>
        <w:t>. Ce critère a pu être assoupli certaines années pour les mois de saison sèche afin de tirer un meilleur parti des séries de données observées. Les périodes d’observation varient d’une station à l’autre.</w:t>
      </w:r>
    </w:p>
    <w:p w:rsidR="00345418" w:rsidRPr="00DA09B6" w:rsidRDefault="00345418" w:rsidP="00EA66B6">
      <w:pPr>
        <w:jc w:val="both"/>
        <w:rPr>
          <w:sz w:val="22"/>
        </w:rPr>
      </w:pPr>
    </w:p>
    <w:p w:rsidR="00345418" w:rsidRPr="00DA09B6" w:rsidRDefault="0004612F" w:rsidP="0004612F">
      <w:pPr>
        <w:pStyle w:val="Titre2"/>
      </w:pPr>
      <w:r w:rsidRPr="00DA09B6">
        <w:t>Données d’exploitation à Buyo</w:t>
      </w:r>
    </w:p>
    <w:p w:rsidR="0004612F" w:rsidRPr="00DA09B6" w:rsidRDefault="0004612F" w:rsidP="00EA66B6">
      <w:pPr>
        <w:jc w:val="both"/>
        <w:rPr>
          <w:sz w:val="22"/>
        </w:rPr>
      </w:pPr>
    </w:p>
    <w:p w:rsidR="00A507EA" w:rsidRDefault="0004612F" w:rsidP="00EA66B6">
      <w:pPr>
        <w:jc w:val="both"/>
        <w:rPr>
          <w:sz w:val="22"/>
        </w:rPr>
      </w:pPr>
      <w:r w:rsidRPr="00DA09B6">
        <w:rPr>
          <w:sz w:val="22"/>
        </w:rPr>
        <w:lastRenderedPageBreak/>
        <w:t>Les données d’exploitation de l’aménagement de Buyo ont été fournies par la CIE. Il s’agit pour chaque mois de la période 1981-2014 de la cote du réservoir au 1er jour du mois, du cumul de pluie observé au poste de Buyo, du volume évaporé (1998-2014 uniquement), du volume d’eau turbiné, du volume vidangé, du volume déversé</w:t>
      </w:r>
      <w:r w:rsidR="00A507EA">
        <w:rPr>
          <w:sz w:val="22"/>
        </w:rPr>
        <w:t>, et du volume d’apports bruts.</w:t>
      </w:r>
    </w:p>
    <w:p w:rsidR="00A507EA" w:rsidRDefault="00A507EA" w:rsidP="00EA66B6">
      <w:pPr>
        <w:jc w:val="both"/>
        <w:rPr>
          <w:sz w:val="22"/>
        </w:rPr>
      </w:pPr>
    </w:p>
    <w:p w:rsidR="0004612F" w:rsidRPr="00DA09B6" w:rsidRDefault="0004612F" w:rsidP="00EA66B6">
      <w:pPr>
        <w:jc w:val="both"/>
        <w:rPr>
          <w:sz w:val="22"/>
        </w:rPr>
      </w:pPr>
      <w:r w:rsidRPr="00DA09B6">
        <w:rPr>
          <w:sz w:val="22"/>
        </w:rPr>
        <w:t>Les volumes déversés et vidangés sont estimés grâce à des abaques donnant le volume en fonction de la cote et de l’ouverture des vannes. Le volume turbiné est obtenu par le produit de l’énergie brute produite (GWh) et d’un coefficient énergétique (m</w:t>
      </w:r>
      <w:r w:rsidRPr="00DA09B6">
        <w:rPr>
          <w:sz w:val="22"/>
          <w:vertAlign w:val="superscript"/>
        </w:rPr>
        <w:t>3</w:t>
      </w:r>
      <w:r w:rsidRPr="00DA09B6">
        <w:rPr>
          <w:sz w:val="22"/>
        </w:rPr>
        <w:t xml:space="preserve">/GWh) fourni par l’abaque reliant la puissance des groupes à la côte de retenue. Le volume évaporé est déduit de la superficie de la retenue et d’un coefficient saisonnier. Enfin, le volume d’apports bruts est déduit du bilan en eau de la retenue, soit la somme algébrique des volumes </w:t>
      </w:r>
      <w:r w:rsidR="00DA09B6" w:rsidRPr="00DA09B6">
        <w:rPr>
          <w:sz w:val="22"/>
        </w:rPr>
        <w:t>turbinés, déversés</w:t>
      </w:r>
      <w:r w:rsidRPr="00DA09B6">
        <w:rPr>
          <w:sz w:val="22"/>
        </w:rPr>
        <w:t>, vidangés, évaporés et de la variation du stock dans le réservoir. La variation de stock est déduite de la différence des niveaux après passage dans l’abaque reliant niveau et volume. Le calcul du bilan en eau est réalisé au pas de temps journalier puis cumulé mensuellement.</w:t>
      </w:r>
    </w:p>
    <w:p w:rsidR="0004612F" w:rsidRPr="00DA09B6" w:rsidRDefault="0004612F" w:rsidP="00EA66B6">
      <w:pPr>
        <w:jc w:val="both"/>
        <w:rPr>
          <w:sz w:val="22"/>
        </w:rPr>
      </w:pPr>
    </w:p>
    <w:p w:rsidR="00A15987" w:rsidRPr="00DA09B6" w:rsidRDefault="00A15987" w:rsidP="00A15987">
      <w:pPr>
        <w:pStyle w:val="Titre2"/>
      </w:pPr>
      <w:r w:rsidRPr="00DA09B6">
        <w:t>Modèle</w:t>
      </w:r>
      <w:r w:rsidR="003A291D" w:rsidRPr="00DA09B6">
        <w:t xml:space="preserve"> hydrologique</w:t>
      </w:r>
    </w:p>
    <w:p w:rsidR="00A15987" w:rsidRPr="00DA09B6" w:rsidRDefault="00A15987" w:rsidP="00EA66B6">
      <w:pPr>
        <w:jc w:val="both"/>
        <w:rPr>
          <w:sz w:val="22"/>
        </w:rPr>
      </w:pPr>
    </w:p>
    <w:p w:rsidR="003A291D" w:rsidRPr="00DA09B6" w:rsidRDefault="005358DA" w:rsidP="003A291D">
      <w:pPr>
        <w:jc w:val="both"/>
        <w:rPr>
          <w:sz w:val="22"/>
        </w:rPr>
      </w:pPr>
      <w:r>
        <w:rPr>
          <w:sz w:val="22"/>
        </w:rPr>
        <w:t xml:space="preserve">Dans la mesure où la longueur des chroniques hydrologiques n’est pas suffisante pour appréhender la variabilité interannuelle des écoulements dans le bassin du Sassandra, il a été nécessaire de procéder à une reconstitution et une extension des séries hydrométriques. La disponibilité des séries de pluies (données du C.R.U) permet d’envisager une modélisation hydrologique pluie-débit. </w:t>
      </w:r>
      <w:r w:rsidR="003A291D" w:rsidRPr="00DA09B6">
        <w:rPr>
          <w:sz w:val="22"/>
        </w:rPr>
        <w:t xml:space="preserve">Le modèle hydrologique retenu est le modèle GR2M de l’IRSTEA (Institut de Recherche Scientifique et Technique pour l’Environnement et l’Agriculture) dans la version de Mouelhi </w:t>
      </w:r>
      <w:sdt>
        <w:sdtPr>
          <w:rPr>
            <w:sz w:val="22"/>
          </w:rPr>
          <w:id w:val="-727143432"/>
          <w:citation/>
        </w:sdtPr>
        <w:sdtEndPr/>
        <w:sdtContent>
          <w:r w:rsidR="003A291D" w:rsidRPr="00DA09B6">
            <w:rPr>
              <w:sz w:val="22"/>
            </w:rPr>
            <w:fldChar w:fldCharType="begin"/>
          </w:r>
          <w:r w:rsidR="003A291D" w:rsidRPr="00DA09B6">
            <w:rPr>
              <w:sz w:val="22"/>
            </w:rPr>
            <w:instrText xml:space="preserve"> CITATION Mou06 \l 1036 </w:instrText>
          </w:r>
          <w:r w:rsidR="003A291D" w:rsidRPr="00DA09B6">
            <w:rPr>
              <w:sz w:val="22"/>
            </w:rPr>
            <w:fldChar w:fldCharType="separate"/>
          </w:r>
          <w:r w:rsidR="003A291D" w:rsidRPr="00DA09B6">
            <w:rPr>
              <w:noProof/>
              <w:sz w:val="22"/>
            </w:rPr>
            <w:t>(Mouelhi, 2006)</w:t>
          </w:r>
          <w:r w:rsidR="003A291D" w:rsidRPr="00DA09B6">
            <w:rPr>
              <w:sz w:val="22"/>
            </w:rPr>
            <w:fldChar w:fldCharType="end"/>
          </w:r>
        </w:sdtContent>
      </w:sdt>
      <w:r w:rsidR="003A291D" w:rsidRPr="00DA09B6">
        <w:rPr>
          <w:sz w:val="22"/>
        </w:rPr>
        <w:t xml:space="preserve">. Il s’agit d’un modèle conceptuel à deux réservoirs et deux paramètres au pas de temps mensuel. Le modèle n’est pas détaillé dans cet article, mais sa structure associe un réservoir de production, un réservoir de routage ainsi qu’une ouverture sur l’extérieur autre que le milieu atmosphérique </w:t>
      </w:r>
      <w:sdt>
        <w:sdtPr>
          <w:rPr>
            <w:sz w:val="22"/>
          </w:rPr>
          <w:id w:val="-1571026745"/>
          <w:citation/>
        </w:sdtPr>
        <w:sdtEndPr/>
        <w:sdtContent>
          <w:r w:rsidR="003A291D" w:rsidRPr="00DA09B6">
            <w:rPr>
              <w:sz w:val="22"/>
            </w:rPr>
            <w:fldChar w:fldCharType="begin"/>
          </w:r>
          <w:r w:rsidR="003A291D" w:rsidRPr="00DA09B6">
            <w:rPr>
              <w:sz w:val="22"/>
            </w:rPr>
            <w:instrText xml:space="preserve"> CITATION Per07 \l 1036 </w:instrText>
          </w:r>
          <w:r w:rsidR="003A291D" w:rsidRPr="00DA09B6">
            <w:rPr>
              <w:sz w:val="22"/>
            </w:rPr>
            <w:fldChar w:fldCharType="separate"/>
          </w:r>
          <w:r w:rsidR="003A291D" w:rsidRPr="00DA09B6">
            <w:rPr>
              <w:noProof/>
              <w:sz w:val="22"/>
            </w:rPr>
            <w:t>(Perrin, 2007)</w:t>
          </w:r>
          <w:r w:rsidR="003A291D" w:rsidRPr="00DA09B6">
            <w:rPr>
              <w:sz w:val="22"/>
            </w:rPr>
            <w:fldChar w:fldCharType="end"/>
          </w:r>
        </w:sdtContent>
      </w:sdt>
      <w:r w:rsidR="003A291D" w:rsidRPr="00DA09B6">
        <w:rPr>
          <w:sz w:val="22"/>
        </w:rPr>
        <w:t xml:space="preserve">. Les paramètres du modèle sont obtenus après optimisation d’un critère de qualité des débits simulés. Le critère retenu est le critère de Nash </w:t>
      </w:r>
      <w:sdt>
        <w:sdtPr>
          <w:rPr>
            <w:sz w:val="22"/>
          </w:rPr>
          <w:id w:val="-1553379540"/>
          <w:citation/>
        </w:sdtPr>
        <w:sdtEndPr/>
        <w:sdtContent>
          <w:r w:rsidR="003A291D" w:rsidRPr="00DA09B6">
            <w:rPr>
              <w:sz w:val="22"/>
            </w:rPr>
            <w:fldChar w:fldCharType="begin"/>
          </w:r>
          <w:r w:rsidR="003A291D" w:rsidRPr="00DA09B6">
            <w:rPr>
              <w:sz w:val="22"/>
            </w:rPr>
            <w:instrText xml:space="preserve"> CITATION Nas \l 1036 </w:instrText>
          </w:r>
          <w:r w:rsidR="003A291D" w:rsidRPr="00DA09B6">
            <w:rPr>
              <w:sz w:val="22"/>
            </w:rPr>
            <w:fldChar w:fldCharType="separate"/>
          </w:r>
          <w:r w:rsidR="003A291D" w:rsidRPr="00DA09B6">
            <w:rPr>
              <w:noProof/>
              <w:sz w:val="22"/>
            </w:rPr>
            <w:t>(Nash &amp; Sutcliffe, 1970)</w:t>
          </w:r>
          <w:r w:rsidR="003A291D" w:rsidRPr="00DA09B6">
            <w:rPr>
              <w:sz w:val="22"/>
            </w:rPr>
            <w:fldChar w:fldCharType="end"/>
          </w:r>
        </w:sdtContent>
      </w:sdt>
      <w:r w:rsidR="003A291D" w:rsidRPr="00DA09B6">
        <w:rPr>
          <w:sz w:val="22"/>
        </w:rPr>
        <w:t xml:space="preserve"> qui est défini par:</w:t>
      </w:r>
    </w:p>
    <w:p w:rsidR="003A291D" w:rsidRPr="00DA09B6" w:rsidRDefault="003A291D" w:rsidP="003A291D">
      <w:pPr>
        <w:jc w:val="both"/>
        <w:rPr>
          <w:sz w:val="22"/>
        </w:rPr>
      </w:pPr>
    </w:p>
    <w:p w:rsidR="003A291D" w:rsidRPr="00DA09B6" w:rsidRDefault="003A291D" w:rsidP="003A291D">
      <w:pPr>
        <w:jc w:val="both"/>
        <w:rPr>
          <w:sz w:val="22"/>
        </w:rPr>
      </w:pPr>
      <m:oMathPara>
        <m:oMath>
          <m:r>
            <w:rPr>
              <w:rFonts w:ascii="Cambria Math" w:hAnsi="Cambria Math"/>
              <w:sz w:val="22"/>
            </w:rPr>
            <m:t>Nash=</m:t>
          </m:r>
          <m:r>
            <w:rPr>
              <w:rFonts w:ascii="Cambria Math" w:hAnsi="Cambria Math"/>
              <w:sz w:val="22"/>
            </w:rPr>
            <m:t>100×</m:t>
          </m:r>
          <m:d>
            <m:dPr>
              <m:ctrlPr>
                <w:rPr>
                  <w:rFonts w:ascii="Cambria Math" w:hAnsi="Cambria Math"/>
                  <w:i/>
                  <w:sz w:val="22"/>
                </w:rPr>
              </m:ctrlPr>
            </m:dPr>
            <m:e>
              <m:r>
                <w:rPr>
                  <w:rFonts w:ascii="Cambria Math" w:hAnsi="Cambria Math"/>
                  <w:sz w:val="22"/>
                </w:rPr>
                <m:t>1-</m:t>
              </m:r>
              <m:f>
                <m:fPr>
                  <m:ctrlPr>
                    <w:rPr>
                      <w:rFonts w:ascii="Cambria Math" w:hAnsi="Cambria Math"/>
                      <w:i/>
                      <w:sz w:val="22"/>
                    </w:rPr>
                  </m:ctrlPr>
                </m:fPr>
                <m:num>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Q</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acc>
                                    <m:accPr>
                                      <m:ctrlPr>
                                        <w:rPr>
                                          <w:rFonts w:ascii="Cambria Math" w:hAnsi="Cambria Math"/>
                                          <w:i/>
                                          <w:sz w:val="22"/>
                                        </w:rPr>
                                      </m:ctrlPr>
                                    </m:accPr>
                                    <m:e>
                                      <m:r>
                                        <w:rPr>
                                          <w:rFonts w:ascii="Cambria Math" w:hAnsi="Cambria Math"/>
                                          <w:sz w:val="22"/>
                                        </w:rPr>
                                        <m:t>Q</m:t>
                                      </m:r>
                                    </m:e>
                                  </m:acc>
                                </m:e>
                                <m:sub>
                                  <m:r>
                                    <w:rPr>
                                      <w:rFonts w:ascii="Cambria Math" w:hAnsi="Cambria Math"/>
                                      <w:sz w:val="22"/>
                                    </w:rPr>
                                    <m:t>i</m:t>
                                  </m:r>
                                </m:sub>
                              </m:sSub>
                            </m:e>
                          </m:d>
                        </m:e>
                        <m:sup>
                          <m:r>
                            <w:rPr>
                              <w:rFonts w:ascii="Cambria Math" w:hAnsi="Cambria Math"/>
                              <w:sz w:val="22"/>
                            </w:rPr>
                            <m:t>2</m:t>
                          </m:r>
                        </m:sup>
                      </m:sSup>
                    </m:e>
                  </m:nary>
                </m:num>
                <m:den>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Q</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acc>
                                    <m:accPr>
                                      <m:chr m:val="̅"/>
                                      <m:ctrlPr>
                                        <w:rPr>
                                          <w:rFonts w:ascii="Cambria Math" w:hAnsi="Cambria Math"/>
                                          <w:i/>
                                          <w:sz w:val="22"/>
                                        </w:rPr>
                                      </m:ctrlPr>
                                    </m:accPr>
                                    <m:e>
                                      <m:r>
                                        <w:rPr>
                                          <w:rFonts w:ascii="Cambria Math" w:hAnsi="Cambria Math"/>
                                          <w:sz w:val="22"/>
                                        </w:rPr>
                                        <m:t>Q</m:t>
                                      </m:r>
                                    </m:e>
                                  </m:acc>
                                </m:e>
                                <m:sub/>
                              </m:sSub>
                            </m:e>
                          </m:d>
                        </m:e>
                        <m:sup>
                          <m:r>
                            <w:rPr>
                              <w:rFonts w:ascii="Cambria Math" w:hAnsi="Cambria Math"/>
                              <w:sz w:val="22"/>
                            </w:rPr>
                            <m:t>2</m:t>
                          </m:r>
                        </m:sup>
                      </m:sSup>
                    </m:e>
                  </m:nary>
                </m:den>
              </m:f>
            </m:e>
          </m:d>
        </m:oMath>
      </m:oMathPara>
    </w:p>
    <w:p w:rsidR="00E8550A" w:rsidRPr="00DA09B6" w:rsidRDefault="00E8550A" w:rsidP="00EA66B6">
      <w:pPr>
        <w:jc w:val="both"/>
        <w:rPr>
          <w:sz w:val="22"/>
        </w:rPr>
      </w:pPr>
    </w:p>
    <w:p w:rsidR="003A291D" w:rsidRDefault="003A291D" w:rsidP="00EA66B6">
      <w:pPr>
        <w:jc w:val="both"/>
        <w:rPr>
          <w:sz w:val="22"/>
        </w:rPr>
      </w:pPr>
      <w:r w:rsidRPr="00DA09B6">
        <w:rPr>
          <w:sz w:val="22"/>
        </w:rPr>
        <w:t xml:space="preserve">Avec </w:t>
      </w:r>
      <m:oMath>
        <m:sSub>
          <m:sSubPr>
            <m:ctrlPr>
              <w:rPr>
                <w:rFonts w:ascii="Cambria Math" w:hAnsi="Cambria Math"/>
                <w:i/>
                <w:sz w:val="22"/>
              </w:rPr>
            </m:ctrlPr>
          </m:sSubPr>
          <m:e>
            <m:r>
              <w:rPr>
                <w:rFonts w:ascii="Cambria Math" w:hAnsi="Cambria Math"/>
                <w:sz w:val="22"/>
              </w:rPr>
              <m:t>Q</m:t>
            </m:r>
          </m:e>
          <m:sub>
            <m:r>
              <w:rPr>
                <w:rFonts w:ascii="Cambria Math" w:hAnsi="Cambria Math"/>
                <w:sz w:val="22"/>
              </w:rPr>
              <m:t>i</m:t>
            </m:r>
          </m:sub>
        </m:sSub>
      </m:oMath>
      <w:r w:rsidRPr="00DA09B6">
        <w:rPr>
          <w:sz w:val="22"/>
        </w:rPr>
        <w:t xml:space="preserve"> le débit estimé, </w:t>
      </w:r>
      <m:oMath>
        <m:sSub>
          <m:sSubPr>
            <m:ctrlPr>
              <w:rPr>
                <w:rFonts w:ascii="Cambria Math" w:hAnsi="Cambria Math"/>
                <w:i/>
                <w:sz w:val="22"/>
              </w:rPr>
            </m:ctrlPr>
          </m:sSubPr>
          <m:e>
            <m:acc>
              <m:accPr>
                <m:ctrlPr>
                  <w:rPr>
                    <w:rFonts w:ascii="Cambria Math" w:hAnsi="Cambria Math"/>
                    <w:i/>
                    <w:sz w:val="22"/>
                  </w:rPr>
                </m:ctrlPr>
              </m:accPr>
              <m:e>
                <m:r>
                  <w:rPr>
                    <w:rFonts w:ascii="Cambria Math" w:hAnsi="Cambria Math"/>
                    <w:sz w:val="22"/>
                  </w:rPr>
                  <m:t>Q</m:t>
                </m:r>
              </m:e>
            </m:acc>
          </m:e>
          <m:sub>
            <m:r>
              <w:rPr>
                <w:rFonts w:ascii="Cambria Math" w:hAnsi="Cambria Math"/>
                <w:sz w:val="22"/>
              </w:rPr>
              <m:t>i</m:t>
            </m:r>
          </m:sub>
        </m:sSub>
      </m:oMath>
      <w:r w:rsidRPr="00DA09B6">
        <w:rPr>
          <w:sz w:val="22"/>
        </w:rPr>
        <w:t xml:space="preserve"> le débit observé, i le mois considéré, </w:t>
      </w:r>
      <m:oMath>
        <m:acc>
          <m:accPr>
            <m:chr m:val="̅"/>
            <m:ctrlPr>
              <w:rPr>
                <w:rFonts w:ascii="Cambria Math" w:hAnsi="Cambria Math"/>
                <w:i/>
                <w:sz w:val="22"/>
              </w:rPr>
            </m:ctrlPr>
          </m:accPr>
          <m:e>
            <m:r>
              <w:rPr>
                <w:rFonts w:ascii="Cambria Math" w:hAnsi="Cambria Math"/>
                <w:sz w:val="22"/>
              </w:rPr>
              <m:t>Q</m:t>
            </m:r>
          </m:e>
        </m:acc>
      </m:oMath>
      <w:r w:rsidRPr="00DA09B6">
        <w:rPr>
          <w:sz w:val="22"/>
        </w:rPr>
        <w:t xml:space="preserve"> la moyenne des débits observés sur l’ensemble de la période d’observation. Plus le critère de Nash est proche de 100, plus les débits estimés sont proches des débits observés.</w:t>
      </w:r>
    </w:p>
    <w:p w:rsidR="00A507EA" w:rsidRPr="00DA09B6" w:rsidRDefault="00A507EA" w:rsidP="00EA66B6">
      <w:pPr>
        <w:jc w:val="both"/>
        <w:rPr>
          <w:sz w:val="22"/>
        </w:rPr>
      </w:pPr>
    </w:p>
    <w:p w:rsidR="003A291D" w:rsidRDefault="00E8550A" w:rsidP="00EA66B6">
      <w:pPr>
        <w:jc w:val="both"/>
        <w:rPr>
          <w:sz w:val="22"/>
        </w:rPr>
      </w:pPr>
      <w:r w:rsidRPr="00DA09B6">
        <w:rPr>
          <w:sz w:val="22"/>
        </w:rPr>
        <w:t>Le contrôle des performances du modèle hydrologique est réalisé à chaque bassin grâce à une procédure de calage-contrôle</w:t>
      </w:r>
      <w:r w:rsidR="00B16F37" w:rsidRPr="00DA09B6">
        <w:rPr>
          <w:sz w:val="22"/>
        </w:rPr>
        <w:t xml:space="preserve"> suivant le principe du </w:t>
      </w:r>
      <w:r w:rsidR="00B16F37" w:rsidRPr="00DA09B6">
        <w:rPr>
          <w:i/>
          <w:sz w:val="22"/>
        </w:rPr>
        <w:t>differential</w:t>
      </w:r>
      <w:r w:rsidR="00B16F37" w:rsidRPr="00DA09B6">
        <w:rPr>
          <w:sz w:val="22"/>
        </w:rPr>
        <w:t xml:space="preserve"> </w:t>
      </w:r>
      <w:r w:rsidR="00B16F37" w:rsidRPr="00DA09B6">
        <w:rPr>
          <w:i/>
          <w:sz w:val="22"/>
        </w:rPr>
        <w:t>split-sample test</w:t>
      </w:r>
      <w:r w:rsidR="00B16F37" w:rsidRPr="00DA09B6">
        <w:rPr>
          <w:sz w:val="22"/>
        </w:rPr>
        <w:t xml:space="preserve"> </w:t>
      </w:r>
      <w:sdt>
        <w:sdtPr>
          <w:rPr>
            <w:sz w:val="22"/>
          </w:rPr>
          <w:id w:val="1870101683"/>
          <w:citation/>
        </w:sdtPr>
        <w:sdtEndPr/>
        <w:sdtContent>
          <w:r w:rsidR="00B16F37" w:rsidRPr="00DA09B6">
            <w:rPr>
              <w:sz w:val="22"/>
            </w:rPr>
            <w:fldChar w:fldCharType="begin"/>
          </w:r>
          <w:r w:rsidR="008C4305" w:rsidRPr="00DA09B6">
            <w:rPr>
              <w:sz w:val="22"/>
            </w:rPr>
            <w:instrText xml:space="preserve">CITATION Kle86 \l 1036 </w:instrText>
          </w:r>
          <w:r w:rsidR="00B16F37" w:rsidRPr="00DA09B6">
            <w:rPr>
              <w:sz w:val="22"/>
            </w:rPr>
            <w:fldChar w:fldCharType="separate"/>
          </w:r>
          <w:r w:rsidR="008C4305" w:rsidRPr="00DA09B6">
            <w:rPr>
              <w:noProof/>
              <w:sz w:val="22"/>
            </w:rPr>
            <w:t>(Klemes, 1986)</w:t>
          </w:r>
          <w:r w:rsidR="00B16F37" w:rsidRPr="00DA09B6">
            <w:rPr>
              <w:sz w:val="22"/>
            </w:rPr>
            <w:fldChar w:fldCharType="end"/>
          </w:r>
        </w:sdtContent>
      </w:sdt>
      <w:r w:rsidR="00A507EA">
        <w:rPr>
          <w:sz w:val="22"/>
        </w:rPr>
        <w:t>. La période d’observation</w:t>
      </w:r>
      <w:r w:rsidRPr="00DA09B6">
        <w:rPr>
          <w:sz w:val="22"/>
        </w:rPr>
        <w:t xml:space="preserve"> des débits est scindée en deux sous-périodes constituées chacune d’</w:t>
      </w:r>
      <w:r w:rsidR="0042014E" w:rsidRPr="00DA09B6">
        <w:rPr>
          <w:sz w:val="22"/>
        </w:rPr>
        <w:t>au moins cinq</w:t>
      </w:r>
      <w:r w:rsidRPr="00DA09B6">
        <w:rPr>
          <w:sz w:val="22"/>
        </w:rPr>
        <w:t xml:space="preserve"> années consécutives. Le calage des paramètres est réalisé sur la première sous-période et le contrôle des performances sur la deuxième sous-période. Puis, les rôles des sous-périodes sont inversés et le critère de Nash est obtenu par la moyenne des critères de Nash calculés </w:t>
      </w:r>
      <w:r w:rsidR="00DA09B6" w:rsidRPr="00DA09B6">
        <w:rPr>
          <w:sz w:val="22"/>
        </w:rPr>
        <w:t>successivement</w:t>
      </w:r>
      <w:r w:rsidRPr="00DA09B6">
        <w:rPr>
          <w:sz w:val="22"/>
        </w:rPr>
        <w:t xml:space="preserve"> sur les deux sous-périodes.</w:t>
      </w:r>
    </w:p>
    <w:p w:rsidR="00A507EA" w:rsidRPr="00DA09B6" w:rsidRDefault="00A507EA" w:rsidP="00EA66B6">
      <w:pPr>
        <w:jc w:val="both"/>
        <w:rPr>
          <w:sz w:val="22"/>
        </w:rPr>
      </w:pPr>
    </w:p>
    <w:p w:rsidR="008C4305" w:rsidRPr="00DA09B6" w:rsidRDefault="008C4305" w:rsidP="00EA66B6">
      <w:pPr>
        <w:jc w:val="both"/>
        <w:rPr>
          <w:sz w:val="22"/>
        </w:rPr>
      </w:pPr>
      <w:r w:rsidRPr="00DA09B6">
        <w:rPr>
          <w:sz w:val="22"/>
        </w:rPr>
        <w:t>Le modèle GR2M a déjà montré des performances satisfaisantes dans l</w:t>
      </w:r>
      <w:r w:rsidR="00DA09B6">
        <w:rPr>
          <w:sz w:val="22"/>
        </w:rPr>
        <w:t>e</w:t>
      </w:r>
      <w:r w:rsidRPr="00DA09B6">
        <w:rPr>
          <w:sz w:val="22"/>
        </w:rPr>
        <w:t xml:space="preserve"> bassin du Sassandra </w:t>
      </w:r>
      <w:sdt>
        <w:sdtPr>
          <w:rPr>
            <w:sz w:val="22"/>
          </w:rPr>
          <w:id w:val="743073298"/>
          <w:citation/>
        </w:sdtPr>
        <w:sdtEndPr/>
        <w:sdtContent>
          <w:r w:rsidRPr="00DA09B6">
            <w:rPr>
              <w:sz w:val="22"/>
            </w:rPr>
            <w:fldChar w:fldCharType="begin"/>
          </w:r>
          <w:r w:rsidRPr="00DA09B6">
            <w:rPr>
              <w:sz w:val="22"/>
            </w:rPr>
            <w:instrText xml:space="preserve"> CITATION San04 \l 1036 </w:instrText>
          </w:r>
          <w:r w:rsidRPr="00DA09B6">
            <w:rPr>
              <w:sz w:val="22"/>
            </w:rPr>
            <w:fldChar w:fldCharType="separate"/>
          </w:r>
          <w:r w:rsidRPr="00DA09B6">
            <w:rPr>
              <w:noProof/>
              <w:sz w:val="22"/>
            </w:rPr>
            <w:t>(Ardoin-Bardin, 2004)</w:t>
          </w:r>
          <w:r w:rsidRPr="00DA09B6">
            <w:rPr>
              <w:sz w:val="22"/>
            </w:rPr>
            <w:fldChar w:fldCharType="end"/>
          </w:r>
        </w:sdtContent>
      </w:sdt>
      <w:r w:rsidRPr="00DA09B6">
        <w:rPr>
          <w:sz w:val="22"/>
        </w:rPr>
        <w:t xml:space="preserve"> </w:t>
      </w:r>
      <w:sdt>
        <w:sdtPr>
          <w:rPr>
            <w:sz w:val="22"/>
          </w:rPr>
          <w:id w:val="5649227"/>
          <w:citation/>
        </w:sdtPr>
        <w:sdtEndPr/>
        <w:sdtContent>
          <w:r w:rsidRPr="00DA09B6">
            <w:rPr>
              <w:sz w:val="22"/>
            </w:rPr>
            <w:fldChar w:fldCharType="begin"/>
          </w:r>
          <w:r w:rsidRPr="00DA09B6">
            <w:rPr>
              <w:sz w:val="22"/>
            </w:rPr>
            <w:instrText xml:space="preserve"> CITATION Ard12 \l 1036 </w:instrText>
          </w:r>
          <w:r w:rsidRPr="00DA09B6">
            <w:rPr>
              <w:sz w:val="22"/>
            </w:rPr>
            <w:fldChar w:fldCharType="separate"/>
          </w:r>
          <w:r w:rsidRPr="00DA09B6">
            <w:rPr>
              <w:noProof/>
              <w:sz w:val="22"/>
            </w:rPr>
            <w:t>(Ardoin-Bardin, 2009)</w:t>
          </w:r>
          <w:r w:rsidRPr="00DA09B6">
            <w:rPr>
              <w:sz w:val="22"/>
            </w:rPr>
            <w:fldChar w:fldCharType="end"/>
          </w:r>
        </w:sdtContent>
      </w:sdt>
      <w:r w:rsidRPr="00DA09B6">
        <w:rPr>
          <w:sz w:val="22"/>
        </w:rPr>
        <w:t xml:space="preserve"> </w:t>
      </w:r>
      <w:sdt>
        <w:sdtPr>
          <w:rPr>
            <w:sz w:val="22"/>
          </w:rPr>
          <w:id w:val="-2034558873"/>
          <w:citation/>
        </w:sdtPr>
        <w:sdtEndPr/>
        <w:sdtContent>
          <w:r w:rsidRPr="00DA09B6">
            <w:rPr>
              <w:sz w:val="22"/>
            </w:rPr>
            <w:fldChar w:fldCharType="begin"/>
          </w:r>
          <w:r w:rsidRPr="00DA09B6">
            <w:rPr>
              <w:sz w:val="22"/>
            </w:rPr>
            <w:instrText xml:space="preserve"> CITATION Yao12 \l 1036 </w:instrText>
          </w:r>
          <w:r w:rsidRPr="00DA09B6">
            <w:rPr>
              <w:sz w:val="22"/>
            </w:rPr>
            <w:fldChar w:fldCharType="separate"/>
          </w:r>
          <w:r w:rsidRPr="00DA09B6">
            <w:rPr>
              <w:noProof/>
              <w:sz w:val="22"/>
            </w:rPr>
            <w:t>(Yao, et al., 2012)</w:t>
          </w:r>
          <w:r w:rsidRPr="00DA09B6">
            <w:rPr>
              <w:sz w:val="22"/>
            </w:rPr>
            <w:fldChar w:fldCharType="end"/>
          </w:r>
        </w:sdtContent>
      </w:sdt>
      <w:r w:rsidRPr="00DA09B6">
        <w:rPr>
          <w:sz w:val="22"/>
        </w:rPr>
        <w:t>.</w:t>
      </w:r>
    </w:p>
    <w:p w:rsidR="00E8550A" w:rsidRPr="00DA09B6" w:rsidRDefault="00E8550A" w:rsidP="00EA66B6">
      <w:pPr>
        <w:jc w:val="both"/>
        <w:rPr>
          <w:sz w:val="24"/>
        </w:rPr>
      </w:pPr>
    </w:p>
    <w:p w:rsidR="003A291D" w:rsidRPr="00DA09B6" w:rsidRDefault="003A291D" w:rsidP="003A291D">
      <w:pPr>
        <w:pStyle w:val="Titre2"/>
      </w:pPr>
      <w:r w:rsidRPr="00DA09B6">
        <w:t xml:space="preserve">Modèle </w:t>
      </w:r>
      <w:r w:rsidR="00E8550A" w:rsidRPr="00DA09B6">
        <w:t>intégré</w:t>
      </w:r>
      <w:r w:rsidRPr="00DA09B6">
        <w:t xml:space="preserve"> </w:t>
      </w:r>
      <w:r w:rsidR="00E8550A" w:rsidRPr="00DA09B6">
        <w:t>du bassin versant</w:t>
      </w:r>
    </w:p>
    <w:p w:rsidR="003A291D" w:rsidRPr="00DA09B6" w:rsidRDefault="003A291D" w:rsidP="00EA66B6">
      <w:pPr>
        <w:jc w:val="both"/>
        <w:rPr>
          <w:sz w:val="22"/>
        </w:rPr>
      </w:pPr>
    </w:p>
    <w:p w:rsidR="00E8550A" w:rsidRDefault="00E8550A" w:rsidP="00EA66B6">
      <w:pPr>
        <w:jc w:val="both"/>
        <w:rPr>
          <w:sz w:val="22"/>
        </w:rPr>
      </w:pPr>
      <w:r w:rsidRPr="00DA09B6">
        <w:rPr>
          <w:sz w:val="22"/>
        </w:rPr>
        <w:t xml:space="preserve">Le logiciel retenu est MIKE HYDRO Basin du Danish Hydraulic Institute (DHI). Il fournit une représentation mathématique simplifiée du bassin versant </w:t>
      </w:r>
      <w:r w:rsidR="0042014E" w:rsidRPr="00DA09B6">
        <w:rPr>
          <w:sz w:val="22"/>
        </w:rPr>
        <w:t>(</w:t>
      </w:r>
      <w:r w:rsidRPr="00DA09B6">
        <w:rPr>
          <w:sz w:val="22"/>
        </w:rPr>
        <w:t>rivières, réservoirs</w:t>
      </w:r>
      <w:r w:rsidR="0042014E" w:rsidRPr="00DA09B6">
        <w:rPr>
          <w:sz w:val="22"/>
        </w:rPr>
        <w:t xml:space="preserve"> et</w:t>
      </w:r>
      <w:r w:rsidRPr="00DA09B6">
        <w:rPr>
          <w:sz w:val="22"/>
        </w:rPr>
        <w:t xml:space="preserve"> usages de l’eau</w:t>
      </w:r>
      <w:r w:rsidR="0042014E" w:rsidRPr="00DA09B6">
        <w:rPr>
          <w:sz w:val="22"/>
        </w:rPr>
        <w:t xml:space="preserve">) sous forme de branches et </w:t>
      </w:r>
      <w:r w:rsidR="00A507EA">
        <w:rPr>
          <w:sz w:val="22"/>
        </w:rPr>
        <w:t xml:space="preserve">de </w:t>
      </w:r>
      <w:r w:rsidR="00DA09B6" w:rsidRPr="00DA09B6">
        <w:rPr>
          <w:sz w:val="22"/>
        </w:rPr>
        <w:t>nœuds</w:t>
      </w:r>
      <w:r w:rsidRPr="00DA09B6">
        <w:rPr>
          <w:sz w:val="22"/>
        </w:rPr>
        <w:t>.</w:t>
      </w:r>
      <w:r w:rsidR="0042014E" w:rsidRPr="00DA09B6">
        <w:rPr>
          <w:sz w:val="22"/>
        </w:rPr>
        <w:t xml:space="preserve"> Lors d’une simulation, il réalise le bilan en eau à chaque </w:t>
      </w:r>
      <w:r w:rsidR="00DA09B6" w:rsidRPr="00DA09B6">
        <w:rPr>
          <w:sz w:val="22"/>
        </w:rPr>
        <w:t>nœud</w:t>
      </w:r>
      <w:r w:rsidR="0042014E" w:rsidRPr="00DA09B6">
        <w:rPr>
          <w:sz w:val="22"/>
        </w:rPr>
        <w:t xml:space="preserve"> du système </w:t>
      </w:r>
      <w:r w:rsidR="0042014E" w:rsidRPr="00DA09B6">
        <w:rPr>
          <w:sz w:val="22"/>
        </w:rPr>
        <w:lastRenderedPageBreak/>
        <w:t>et à chaque pas de temps compte-tenu des forçages hydrologiques et des spécifications des aménagements et des usages de l’eau.</w:t>
      </w:r>
    </w:p>
    <w:p w:rsidR="00C0421D" w:rsidRDefault="005E6051" w:rsidP="00EA66B6">
      <w:pPr>
        <w:jc w:val="both"/>
        <w:rPr>
          <w:sz w:val="22"/>
        </w:rPr>
      </w:pPr>
      <w:r>
        <w:rPr>
          <w:sz w:val="22"/>
        </w:rPr>
        <w:t xml:space="preserve">La construction du modèle intégré du bassin versant du </w:t>
      </w:r>
      <w:r w:rsidRPr="00217914">
        <w:rPr>
          <w:sz w:val="22"/>
        </w:rPr>
        <w:t>Sassandra</w:t>
      </w:r>
      <w:r w:rsidR="0019539B" w:rsidRPr="00217914">
        <w:rPr>
          <w:sz w:val="22"/>
        </w:rPr>
        <w:t xml:space="preserve"> (</w:t>
      </w:r>
      <w:r w:rsidR="00BE3FD4" w:rsidRPr="00217914">
        <w:rPr>
          <w:sz w:val="22"/>
        </w:rPr>
        <w:t>Fig.</w:t>
      </w:r>
      <w:r w:rsidR="0019539B" w:rsidRPr="00217914">
        <w:rPr>
          <w:sz w:val="22"/>
        </w:rPr>
        <w:t xml:space="preserve"> 2)</w:t>
      </w:r>
      <w:r w:rsidRPr="00217914">
        <w:rPr>
          <w:sz w:val="22"/>
        </w:rPr>
        <w:t xml:space="preserve"> est</w:t>
      </w:r>
      <w:r>
        <w:rPr>
          <w:sz w:val="22"/>
        </w:rPr>
        <w:t xml:space="preserve"> réalisée en introduisant sur le réseau hydrographique, puis en paramétrant les aménagements existants (Buyo), en construction (Soubré) et en projet (Gao, Koulikoro, Tayaboui, Gribo-Popoli, Boutoubré et Louga). Les paramètres concernent le réservoir (courbes hauteur-superficie-volume), l’usine hydroélectrique (débit d’équipement, capacité installée, niveau de prise d’eau usinière, rendement des machines, pertes de charges, relation débit hauteur </w:t>
      </w:r>
      <w:r w:rsidR="00792BB4">
        <w:rPr>
          <w:sz w:val="22"/>
        </w:rPr>
        <w:t xml:space="preserve">de </w:t>
      </w:r>
      <w:r>
        <w:rPr>
          <w:sz w:val="22"/>
        </w:rPr>
        <w:t xml:space="preserve">la restitution) ainsi que l’ensemble des consignes de gestion qui régissent le fonctionnement de l’aménagement, </w:t>
      </w:r>
      <w:r w:rsidR="00792BB4">
        <w:rPr>
          <w:sz w:val="22"/>
        </w:rPr>
        <w:t>telles que</w:t>
      </w:r>
      <w:r>
        <w:rPr>
          <w:sz w:val="22"/>
        </w:rPr>
        <w:t xml:space="preserve"> la cote de retenue normale, le niveau minimum d’exploitation</w:t>
      </w:r>
      <w:r w:rsidR="00792BB4">
        <w:rPr>
          <w:sz w:val="22"/>
        </w:rPr>
        <w:t xml:space="preserve"> ou </w:t>
      </w:r>
      <w:r>
        <w:rPr>
          <w:sz w:val="22"/>
        </w:rPr>
        <w:t>le débit réservé.</w:t>
      </w:r>
    </w:p>
    <w:p w:rsidR="005E6051" w:rsidRDefault="005E6051" w:rsidP="00EA66B6">
      <w:pPr>
        <w:jc w:val="both"/>
        <w:rPr>
          <w:sz w:val="22"/>
        </w:rPr>
      </w:pPr>
    </w:p>
    <w:p w:rsidR="005E6051" w:rsidRDefault="005E6051" w:rsidP="00EA66B6">
      <w:pPr>
        <w:jc w:val="both"/>
        <w:rPr>
          <w:sz w:val="22"/>
        </w:rPr>
      </w:pPr>
      <w:r>
        <w:rPr>
          <w:sz w:val="22"/>
        </w:rPr>
        <w:t xml:space="preserve">La construction du modèle fait apparaître les </w:t>
      </w:r>
      <w:r w:rsidR="00D8443C">
        <w:rPr>
          <w:sz w:val="22"/>
        </w:rPr>
        <w:t>sous-bass</w:t>
      </w:r>
      <w:r>
        <w:rPr>
          <w:sz w:val="22"/>
        </w:rPr>
        <w:t>ins versants pour lesquels il est nécessaire d’introduire la série mensuelle des débits. A l’exception de Gao, il s’agit des Bassins Versants Intermédiaires (BVI) entre deux aménagements successifs, par exemple, le bassin versant entre Buyo et Soubré, qui est constitué en grande partie par le bassin versant de l’affluent Lobo.</w:t>
      </w:r>
    </w:p>
    <w:p w:rsidR="005E6051" w:rsidRDefault="005E6051" w:rsidP="00EA66B6">
      <w:pPr>
        <w:jc w:val="both"/>
        <w:rPr>
          <w:sz w:val="22"/>
        </w:rPr>
      </w:pPr>
    </w:p>
    <w:p w:rsidR="00A15987" w:rsidRPr="00DA09B6" w:rsidRDefault="00D4476C" w:rsidP="0042014E">
      <w:pPr>
        <w:pStyle w:val="Titre1"/>
      </w:pPr>
      <w:r>
        <w:t>Résultats</w:t>
      </w:r>
    </w:p>
    <w:p w:rsidR="00A15987" w:rsidRPr="00DA09B6" w:rsidRDefault="00A15987" w:rsidP="00EA66B6">
      <w:pPr>
        <w:jc w:val="both"/>
        <w:rPr>
          <w:sz w:val="22"/>
        </w:rPr>
      </w:pPr>
    </w:p>
    <w:p w:rsidR="00C0782D" w:rsidRPr="00DA09B6" w:rsidRDefault="00FA6B7F" w:rsidP="00FA6B7F">
      <w:pPr>
        <w:pStyle w:val="Titre2"/>
      </w:pPr>
      <w:r w:rsidRPr="00DA09B6">
        <w:t>Variabilité des pluies et évolution des débits</w:t>
      </w:r>
    </w:p>
    <w:p w:rsidR="00FA6B7F" w:rsidRPr="00DA09B6" w:rsidRDefault="00FA6B7F" w:rsidP="00EA66B6">
      <w:pPr>
        <w:jc w:val="both"/>
        <w:rPr>
          <w:sz w:val="22"/>
        </w:rPr>
      </w:pPr>
    </w:p>
    <w:p w:rsidR="00FA6B7F" w:rsidRPr="00DA09B6" w:rsidRDefault="00FA6B7F" w:rsidP="00EA66B6">
      <w:pPr>
        <w:jc w:val="both"/>
        <w:rPr>
          <w:sz w:val="22"/>
        </w:rPr>
      </w:pPr>
      <w:r w:rsidRPr="00DA09B6">
        <w:rPr>
          <w:sz w:val="22"/>
        </w:rPr>
        <w:t xml:space="preserve">La pluviométrie des </w:t>
      </w:r>
      <w:r w:rsidR="00D8443C">
        <w:rPr>
          <w:sz w:val="22"/>
        </w:rPr>
        <w:t>sous-bass</w:t>
      </w:r>
      <w:r w:rsidRPr="00DA09B6">
        <w:rPr>
          <w:sz w:val="22"/>
        </w:rPr>
        <w:t xml:space="preserve">ins versants du Sassandra est déduite des grilles de précipitations mensuelles </w:t>
      </w:r>
      <w:r w:rsidR="00792BB4">
        <w:rPr>
          <w:sz w:val="22"/>
        </w:rPr>
        <w:t xml:space="preserve">du </w:t>
      </w:r>
      <w:r w:rsidRPr="00DA09B6">
        <w:rPr>
          <w:sz w:val="22"/>
        </w:rPr>
        <w:t xml:space="preserve">CRU par intersection du tracé du bassin versant et des mailles des grilles. La variabilité de la pluviométrie annuelle des bassins est analysée </w:t>
      </w:r>
      <w:r w:rsidR="00DA09B6" w:rsidRPr="00DA09B6">
        <w:rPr>
          <w:sz w:val="22"/>
        </w:rPr>
        <w:t>grâce</w:t>
      </w:r>
      <w:r w:rsidRPr="00DA09B6">
        <w:rPr>
          <w:sz w:val="22"/>
        </w:rPr>
        <w:t xml:space="preserve"> à une variable centrée réduite lissée sur 5 ans:</w:t>
      </w:r>
    </w:p>
    <w:p w:rsidR="00FA6B7F" w:rsidRPr="00DA09B6" w:rsidRDefault="00FA6B7F" w:rsidP="00EA66B6">
      <w:pPr>
        <w:jc w:val="both"/>
        <w:rPr>
          <w:sz w:val="22"/>
        </w:rPr>
      </w:pPr>
    </w:p>
    <w:p w:rsidR="00FA6B7F" w:rsidRPr="00DA09B6" w:rsidRDefault="000C2FE3" w:rsidP="00EA66B6">
      <w:pPr>
        <w:jc w:val="both"/>
        <w:rPr>
          <w:sz w:val="22"/>
        </w:rPr>
      </w:pPr>
      <m:oMathPara>
        <m:oMath>
          <m:f>
            <m:fPr>
              <m:ctrlPr>
                <w:rPr>
                  <w:rFonts w:ascii="Cambria Math" w:hAnsi="Cambria Math"/>
                  <w:i/>
                  <w:sz w:val="22"/>
                </w:rPr>
              </m:ctrlPr>
            </m:fPr>
            <m:num>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P</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moy</m:t>
                      </m:r>
                    </m:sub>
                  </m:sSub>
                </m:e>
              </m:d>
            </m:num>
            <m:den>
              <m:r>
                <w:rPr>
                  <w:rFonts w:ascii="Cambria Math" w:hAnsi="Cambria Math"/>
                  <w:sz w:val="22"/>
                </w:rPr>
                <m:t>s</m:t>
              </m:r>
            </m:den>
          </m:f>
        </m:oMath>
      </m:oMathPara>
    </w:p>
    <w:p w:rsidR="004B1C08" w:rsidRPr="00DA09B6" w:rsidRDefault="004B1C08" w:rsidP="00EA66B6">
      <w:pPr>
        <w:jc w:val="both"/>
        <w:rPr>
          <w:sz w:val="22"/>
        </w:rPr>
      </w:pPr>
    </w:p>
    <w:p w:rsidR="00FA6B7F" w:rsidRPr="00DA09B6" w:rsidRDefault="00FA6B7F" w:rsidP="00EA66B6">
      <w:pPr>
        <w:jc w:val="both"/>
        <w:rPr>
          <w:sz w:val="22"/>
        </w:rPr>
      </w:pPr>
      <w:r w:rsidRPr="00DA09B6">
        <w:rPr>
          <w:sz w:val="22"/>
        </w:rPr>
        <w:t>Avec P</w:t>
      </w:r>
      <w:r w:rsidRPr="00DA09B6">
        <w:rPr>
          <w:sz w:val="22"/>
          <w:vertAlign w:val="subscript"/>
        </w:rPr>
        <w:t>i</w:t>
      </w:r>
      <w:r w:rsidRPr="00DA09B6">
        <w:rPr>
          <w:sz w:val="22"/>
        </w:rPr>
        <w:t xml:space="preserve"> la pluie annuelle, i l’année considérée, P</w:t>
      </w:r>
      <w:r w:rsidRPr="00DA09B6">
        <w:rPr>
          <w:sz w:val="22"/>
          <w:vertAlign w:val="subscript"/>
        </w:rPr>
        <w:t xml:space="preserve">moy </w:t>
      </w:r>
      <w:r w:rsidRPr="00DA09B6">
        <w:rPr>
          <w:sz w:val="22"/>
        </w:rPr>
        <w:t xml:space="preserve">la  pluviométrie moyenne calculée sur l’ensemble de la période 1951-2013 et </w:t>
      </w:r>
      <w:r w:rsidRPr="00DA09B6">
        <w:rPr>
          <w:i/>
          <w:sz w:val="22"/>
        </w:rPr>
        <w:t>s</w:t>
      </w:r>
      <w:r w:rsidRPr="00DA09B6">
        <w:rPr>
          <w:sz w:val="22"/>
        </w:rPr>
        <w:t xml:space="preserve"> l’écart-type.</w:t>
      </w:r>
    </w:p>
    <w:p w:rsidR="00D8443C" w:rsidRDefault="00D8443C" w:rsidP="00EA66B6">
      <w:pPr>
        <w:jc w:val="both"/>
        <w:rPr>
          <w:sz w:val="22"/>
        </w:rPr>
      </w:pPr>
    </w:p>
    <w:p w:rsidR="00FA6B7F" w:rsidRPr="00DA09B6" w:rsidRDefault="00FA6B7F" w:rsidP="00EA66B6">
      <w:pPr>
        <w:jc w:val="both"/>
        <w:rPr>
          <w:sz w:val="22"/>
        </w:rPr>
      </w:pPr>
      <w:r w:rsidRPr="00DA09B6">
        <w:rPr>
          <w:sz w:val="22"/>
        </w:rPr>
        <w:t>Les pluies varient de manière très importante dans le bassin du Sassandra sur la période 1951-</w:t>
      </w:r>
      <w:r w:rsidRPr="00217914">
        <w:rPr>
          <w:sz w:val="22"/>
        </w:rPr>
        <w:t>2013</w:t>
      </w:r>
      <w:r w:rsidR="006B41F5" w:rsidRPr="00217914">
        <w:rPr>
          <w:sz w:val="22"/>
        </w:rPr>
        <w:t xml:space="preserve"> (</w:t>
      </w:r>
      <w:r w:rsidR="00BE3FD4" w:rsidRPr="00217914">
        <w:rPr>
          <w:sz w:val="22"/>
        </w:rPr>
        <w:t>Fig.</w:t>
      </w:r>
      <w:r w:rsidR="006B41F5" w:rsidRPr="00217914">
        <w:rPr>
          <w:sz w:val="22"/>
        </w:rPr>
        <w:t> 3)</w:t>
      </w:r>
      <w:r w:rsidRPr="00217914">
        <w:rPr>
          <w:sz w:val="22"/>
        </w:rPr>
        <w:t>.</w:t>
      </w:r>
      <w:r w:rsidRPr="00DA09B6">
        <w:rPr>
          <w:sz w:val="22"/>
        </w:rPr>
        <w:t xml:space="preserve"> L’évolution de la pluviométrie</w:t>
      </w:r>
      <w:r w:rsidR="00D8443C">
        <w:rPr>
          <w:sz w:val="22"/>
        </w:rPr>
        <w:t xml:space="preserve"> diffère sensiblement d’un sous-</w:t>
      </w:r>
      <w:r w:rsidRPr="00DA09B6">
        <w:rPr>
          <w:sz w:val="22"/>
        </w:rPr>
        <w:t xml:space="preserve">bassin à l’autre, mais tous ont un commun une période de fort déficit entre les années 1970 et la fin des années 1990. Cette sécheresse a touché l’ensemble de l’Afrique de l’Ouest soudano-guinéenne et a été largement documentée dans le bassin du Sassandra </w:t>
      </w:r>
      <w:sdt>
        <w:sdtPr>
          <w:rPr>
            <w:sz w:val="22"/>
          </w:rPr>
          <w:id w:val="1678003391"/>
          <w:citation/>
        </w:sdtPr>
        <w:sdtEndPr/>
        <w:sdtContent>
          <w:r w:rsidRPr="00DA09B6">
            <w:rPr>
              <w:sz w:val="22"/>
            </w:rPr>
            <w:fldChar w:fldCharType="begin"/>
          </w:r>
          <w:r w:rsidRPr="00DA09B6">
            <w:rPr>
              <w:sz w:val="22"/>
            </w:rPr>
            <w:instrText xml:space="preserve"> CITATION Ser93 \l 1036 </w:instrText>
          </w:r>
          <w:r w:rsidRPr="00DA09B6">
            <w:rPr>
              <w:sz w:val="22"/>
            </w:rPr>
            <w:fldChar w:fldCharType="separate"/>
          </w:r>
          <w:r w:rsidRPr="00DA09B6">
            <w:rPr>
              <w:noProof/>
              <w:sz w:val="22"/>
            </w:rPr>
            <w:t>(Servat &amp; Sakho, 1993)</w:t>
          </w:r>
          <w:r w:rsidRPr="00DA09B6">
            <w:rPr>
              <w:sz w:val="22"/>
            </w:rPr>
            <w:fldChar w:fldCharType="end"/>
          </w:r>
        </w:sdtContent>
      </w:sdt>
      <w:r w:rsidRPr="00DA09B6">
        <w:rPr>
          <w:sz w:val="22"/>
        </w:rPr>
        <w:t xml:space="preserve"> </w:t>
      </w:r>
      <w:sdt>
        <w:sdtPr>
          <w:rPr>
            <w:sz w:val="22"/>
          </w:rPr>
          <w:id w:val="-1990773279"/>
          <w:citation/>
        </w:sdtPr>
        <w:sdtEndPr/>
        <w:sdtContent>
          <w:r w:rsidRPr="00DA09B6">
            <w:rPr>
              <w:sz w:val="22"/>
            </w:rPr>
            <w:fldChar w:fldCharType="begin"/>
          </w:r>
          <w:r w:rsidRPr="00DA09B6">
            <w:rPr>
              <w:sz w:val="22"/>
            </w:rPr>
            <w:instrText xml:space="preserve"> CITATION Aka96 \l 1036 </w:instrText>
          </w:r>
          <w:r w:rsidRPr="00DA09B6">
            <w:rPr>
              <w:sz w:val="22"/>
            </w:rPr>
            <w:fldChar w:fldCharType="separate"/>
          </w:r>
          <w:r w:rsidRPr="00DA09B6">
            <w:rPr>
              <w:noProof/>
              <w:sz w:val="22"/>
            </w:rPr>
            <w:t>(Aka, et al., 1996)</w:t>
          </w:r>
          <w:r w:rsidRPr="00DA09B6">
            <w:rPr>
              <w:sz w:val="22"/>
            </w:rPr>
            <w:fldChar w:fldCharType="end"/>
          </w:r>
        </w:sdtContent>
      </w:sdt>
      <w:sdt>
        <w:sdtPr>
          <w:rPr>
            <w:sz w:val="22"/>
          </w:rPr>
          <w:id w:val="1484739551"/>
          <w:citation/>
        </w:sdtPr>
        <w:sdtEndPr/>
        <w:sdtContent>
          <w:r w:rsidRPr="00DA09B6">
            <w:rPr>
              <w:sz w:val="22"/>
            </w:rPr>
            <w:fldChar w:fldCharType="begin"/>
          </w:r>
          <w:r w:rsidRPr="00DA09B6">
            <w:rPr>
              <w:sz w:val="22"/>
            </w:rPr>
            <w:instrText xml:space="preserve"> CITATION San04 \l 1036 </w:instrText>
          </w:r>
          <w:r w:rsidRPr="00DA09B6">
            <w:rPr>
              <w:sz w:val="22"/>
            </w:rPr>
            <w:fldChar w:fldCharType="separate"/>
          </w:r>
          <w:r w:rsidRPr="00DA09B6">
            <w:rPr>
              <w:noProof/>
              <w:sz w:val="22"/>
            </w:rPr>
            <w:t xml:space="preserve"> (Ardoin-Bardin, 2004)</w:t>
          </w:r>
          <w:r w:rsidRPr="00DA09B6">
            <w:rPr>
              <w:sz w:val="22"/>
            </w:rPr>
            <w:fldChar w:fldCharType="end"/>
          </w:r>
        </w:sdtContent>
      </w:sdt>
      <w:r w:rsidRPr="00DA09B6">
        <w:rPr>
          <w:sz w:val="22"/>
        </w:rPr>
        <w:t xml:space="preserve"> </w:t>
      </w:r>
      <w:sdt>
        <w:sdtPr>
          <w:rPr>
            <w:sz w:val="22"/>
          </w:rPr>
          <w:id w:val="-694077450"/>
          <w:citation/>
        </w:sdtPr>
        <w:sdtEndPr/>
        <w:sdtContent>
          <w:r w:rsidRPr="00DA09B6">
            <w:rPr>
              <w:sz w:val="22"/>
            </w:rPr>
            <w:fldChar w:fldCharType="begin"/>
          </w:r>
          <w:r w:rsidRPr="00DA09B6">
            <w:rPr>
              <w:sz w:val="22"/>
            </w:rPr>
            <w:instrText xml:space="preserve"> CITATION Yao12 \l 1036 </w:instrText>
          </w:r>
          <w:r w:rsidRPr="00DA09B6">
            <w:rPr>
              <w:sz w:val="22"/>
            </w:rPr>
            <w:fldChar w:fldCharType="separate"/>
          </w:r>
          <w:r w:rsidRPr="00DA09B6">
            <w:rPr>
              <w:noProof/>
              <w:sz w:val="22"/>
            </w:rPr>
            <w:t>(Yao, et al., 2012)</w:t>
          </w:r>
          <w:r w:rsidRPr="00DA09B6">
            <w:rPr>
              <w:sz w:val="22"/>
            </w:rPr>
            <w:fldChar w:fldCharType="end"/>
          </w:r>
        </w:sdtContent>
      </w:sdt>
      <w:r w:rsidRPr="00DA09B6">
        <w:rPr>
          <w:sz w:val="22"/>
        </w:rPr>
        <w:t>.</w:t>
      </w:r>
      <w:r w:rsidR="004A5D16" w:rsidRPr="00DA09B6">
        <w:rPr>
          <w:sz w:val="22"/>
        </w:rPr>
        <w:t xml:space="preserve"> Une reprise de la pluviométrie semble avo</w:t>
      </w:r>
      <w:r w:rsidR="00D8443C">
        <w:rPr>
          <w:sz w:val="22"/>
        </w:rPr>
        <w:t>ir lieu depuis les années 2000. C</w:t>
      </w:r>
      <w:r w:rsidR="00DA09B6" w:rsidRPr="00DA09B6">
        <w:rPr>
          <w:sz w:val="22"/>
        </w:rPr>
        <w:t>ependant</w:t>
      </w:r>
      <w:r w:rsidR="004A5D16" w:rsidRPr="00DA09B6">
        <w:rPr>
          <w:sz w:val="22"/>
        </w:rPr>
        <w:t xml:space="preserve"> cette reprise ne permet pas de retrouver la pluviométrie préalable à la sécheresse et devra être confirmée par les observations des années à venir.</w:t>
      </w:r>
    </w:p>
    <w:p w:rsidR="004A5D16" w:rsidRDefault="004A5D16" w:rsidP="00EA66B6">
      <w:pPr>
        <w:jc w:val="both"/>
      </w:pPr>
    </w:p>
    <w:p w:rsidR="00D8443C" w:rsidRPr="00DA09B6" w:rsidRDefault="00D8443C" w:rsidP="00D8443C">
      <w:pPr>
        <w:jc w:val="both"/>
        <w:rPr>
          <w:sz w:val="22"/>
        </w:rPr>
      </w:pPr>
      <w:r w:rsidRPr="00DA09B6">
        <w:rPr>
          <w:sz w:val="22"/>
        </w:rPr>
        <w:t xml:space="preserve">L’évolution des débits dans le bassin versant du Sassandra est analysée de façon </w:t>
      </w:r>
      <w:r w:rsidRPr="00217914">
        <w:rPr>
          <w:sz w:val="22"/>
        </w:rPr>
        <w:t>similaire</w:t>
      </w:r>
      <w:r w:rsidR="006B41F5" w:rsidRPr="00217914">
        <w:rPr>
          <w:sz w:val="22"/>
        </w:rPr>
        <w:t xml:space="preserve"> (</w:t>
      </w:r>
      <w:r w:rsidR="00BE3FD4" w:rsidRPr="00217914">
        <w:rPr>
          <w:sz w:val="22"/>
        </w:rPr>
        <w:t>Fig.</w:t>
      </w:r>
      <w:r w:rsidR="006B41F5" w:rsidRPr="00217914">
        <w:rPr>
          <w:sz w:val="22"/>
        </w:rPr>
        <w:t> 4)</w:t>
      </w:r>
      <w:r w:rsidRPr="00217914">
        <w:rPr>
          <w:sz w:val="22"/>
        </w:rPr>
        <w:t>.</w:t>
      </w:r>
      <w:r w:rsidRPr="00DA09B6">
        <w:rPr>
          <w:sz w:val="22"/>
        </w:rPr>
        <w:t xml:space="preserve"> L’analyse porte sur les périodes d’observation de débits disponibles. Sur l’ensemble des </w:t>
      </w:r>
      <w:r>
        <w:rPr>
          <w:sz w:val="22"/>
        </w:rPr>
        <w:t>sous-bass</w:t>
      </w:r>
      <w:r w:rsidRPr="00DA09B6">
        <w:rPr>
          <w:sz w:val="22"/>
        </w:rPr>
        <w:t>ins versants jaugés, les débits diminuent drastiquement au passage des années 1960 à 1970. A l’exception du Davo, le sous</w:t>
      </w:r>
      <w:r>
        <w:rPr>
          <w:sz w:val="22"/>
        </w:rPr>
        <w:t>-</w:t>
      </w:r>
      <w:r w:rsidRPr="00DA09B6">
        <w:rPr>
          <w:sz w:val="22"/>
        </w:rPr>
        <w:t>bassin le plus méridional, les déficits en écoulement sont maximaux au cours des années 1971 à 1977 et 1982 à 1993.</w:t>
      </w:r>
    </w:p>
    <w:p w:rsidR="00BE40AB" w:rsidRPr="00DA09B6" w:rsidRDefault="00BE40AB" w:rsidP="00EA66B6">
      <w:pPr>
        <w:jc w:val="both"/>
        <w:rPr>
          <w:sz w:val="22"/>
        </w:rPr>
      </w:pPr>
    </w:p>
    <w:p w:rsidR="00927E2F" w:rsidRPr="00DA09B6" w:rsidRDefault="00927E2F" w:rsidP="005D750D">
      <w:pPr>
        <w:pStyle w:val="Titre2"/>
      </w:pPr>
      <w:r w:rsidRPr="00DA09B6">
        <w:t>Calcul des apports nets à Buyo</w:t>
      </w:r>
    </w:p>
    <w:p w:rsidR="00927E2F" w:rsidRPr="00DA09B6" w:rsidRDefault="00927E2F" w:rsidP="00927E2F">
      <w:pPr>
        <w:jc w:val="both"/>
        <w:rPr>
          <w:sz w:val="22"/>
        </w:rPr>
      </w:pPr>
    </w:p>
    <w:p w:rsidR="00927E2F" w:rsidRDefault="00927E2F" w:rsidP="00927E2F">
      <w:pPr>
        <w:jc w:val="both"/>
        <w:rPr>
          <w:sz w:val="22"/>
        </w:rPr>
      </w:pPr>
      <w:r w:rsidRPr="00DA09B6">
        <w:rPr>
          <w:sz w:val="22"/>
        </w:rPr>
        <w:t xml:space="preserve">Les apports bruts à Buyo sur la période 1981-2014 sont </w:t>
      </w:r>
      <w:r w:rsidR="00DA09B6" w:rsidRPr="00DA09B6">
        <w:rPr>
          <w:sz w:val="22"/>
        </w:rPr>
        <w:t>donnés</w:t>
      </w:r>
      <w:r w:rsidRPr="00DA09B6">
        <w:rPr>
          <w:sz w:val="22"/>
        </w:rPr>
        <w:t xml:space="preserve"> par les données d’exploitations transmises par </w:t>
      </w:r>
      <w:r w:rsidR="00792BB4">
        <w:rPr>
          <w:sz w:val="22"/>
        </w:rPr>
        <w:t xml:space="preserve">la </w:t>
      </w:r>
      <w:r w:rsidRPr="00DA09B6">
        <w:rPr>
          <w:sz w:val="22"/>
        </w:rPr>
        <w:t xml:space="preserve">CIE. Par construction, ces apports bruts incluent les apports de rivière et les précipitations directes </w:t>
      </w:r>
      <w:r w:rsidRPr="00DA09B6">
        <w:rPr>
          <w:sz w:val="22"/>
        </w:rPr>
        <w:lastRenderedPageBreak/>
        <w:t>sur le lac de retenue. La connaissance des cumuls mensuels de pluie à Buyo permet de déduire de la série mensuelle des apports bruts la série mensuelle des apports nets par simple soustraction du volume mensuel de pluie tombé sur le lac de retenue.</w:t>
      </w:r>
    </w:p>
    <w:p w:rsidR="00D8443C" w:rsidRPr="00DA09B6" w:rsidRDefault="00D8443C" w:rsidP="00927E2F">
      <w:pPr>
        <w:jc w:val="both"/>
        <w:rPr>
          <w:sz w:val="22"/>
        </w:rPr>
      </w:pPr>
    </w:p>
    <w:p w:rsidR="00927E2F" w:rsidRPr="00DA09B6" w:rsidRDefault="00927E2F" w:rsidP="00927E2F">
      <w:pPr>
        <w:jc w:val="both"/>
        <w:rPr>
          <w:sz w:val="22"/>
        </w:rPr>
      </w:pPr>
      <w:r w:rsidRPr="00DA09B6">
        <w:rPr>
          <w:sz w:val="22"/>
        </w:rPr>
        <w:t>La qualité de ces données est jugée médiocre. En effet, le processus de calcul qui permet d’établir ces données est parsemé d’incertitudes de mesure et d’hypothèses qui se répercutent à travers l’ensemble du calcul. Ainsi, il n’est pas rare pour les mois de saison sèche de faire apparaître par le calcul des apports nets négatifs. Ces biais peuvent être corrigés sans incidences</w:t>
      </w:r>
      <w:r w:rsidR="00D8443C">
        <w:rPr>
          <w:sz w:val="22"/>
        </w:rPr>
        <w:t xml:space="preserve"> significatives</w:t>
      </w:r>
      <w:r w:rsidRPr="00DA09B6">
        <w:rPr>
          <w:sz w:val="22"/>
        </w:rPr>
        <w:t xml:space="preserve"> sur le bilan en eau du réservoir de Buyo.</w:t>
      </w:r>
      <w:r w:rsidR="00FC0CFF">
        <w:rPr>
          <w:sz w:val="22"/>
        </w:rPr>
        <w:t xml:space="preserve"> </w:t>
      </w:r>
      <w:r w:rsidRPr="00DA09B6">
        <w:rPr>
          <w:sz w:val="22"/>
        </w:rPr>
        <w:t>Les principaux termes du bilan en eau du réservoir de Buyo sont donnés</w:t>
      </w:r>
      <w:r w:rsidR="00D8443C">
        <w:rPr>
          <w:sz w:val="22"/>
        </w:rPr>
        <w:t xml:space="preserve"> dans le</w:t>
      </w:r>
      <w:r w:rsidR="00FC0CFF">
        <w:rPr>
          <w:sz w:val="22"/>
        </w:rPr>
        <w:t xml:space="preserve"> </w:t>
      </w:r>
      <w:r w:rsidR="00FC0CFF">
        <w:rPr>
          <w:sz w:val="22"/>
        </w:rPr>
        <w:fldChar w:fldCharType="begin"/>
      </w:r>
      <w:r w:rsidR="00FC0CFF">
        <w:rPr>
          <w:sz w:val="22"/>
        </w:rPr>
        <w:instrText xml:space="preserve"> REF _Ref431458111 \h </w:instrText>
      </w:r>
      <w:r w:rsidR="00FC0CFF">
        <w:rPr>
          <w:sz w:val="22"/>
        </w:rPr>
      </w:r>
      <w:r w:rsidR="00FC0CFF">
        <w:rPr>
          <w:sz w:val="22"/>
        </w:rPr>
        <w:fldChar w:fldCharType="separate"/>
      </w:r>
      <w:r w:rsidR="00FC0CFF" w:rsidRPr="00D8443C">
        <w:t xml:space="preserve">Tableau </w:t>
      </w:r>
      <w:r w:rsidR="00FC0CFF">
        <w:rPr>
          <w:noProof/>
        </w:rPr>
        <w:t>1</w:t>
      </w:r>
      <w:r w:rsidR="00FC0CFF">
        <w:rPr>
          <w:sz w:val="22"/>
        </w:rPr>
        <w:fldChar w:fldCharType="end"/>
      </w:r>
      <w:r w:rsidRPr="00DA09B6">
        <w:rPr>
          <w:sz w:val="22"/>
        </w:rPr>
        <w:t>.</w:t>
      </w:r>
    </w:p>
    <w:p w:rsidR="00BE40AB" w:rsidRPr="00DA09B6" w:rsidRDefault="005D750D" w:rsidP="005D750D">
      <w:pPr>
        <w:pStyle w:val="Titre2"/>
      </w:pPr>
      <w:r w:rsidRPr="00DA09B6">
        <w:t>Extension des séries de débits par modélisation hydrologique</w:t>
      </w:r>
    </w:p>
    <w:p w:rsidR="005D750D" w:rsidRPr="00DA09B6" w:rsidRDefault="005D750D" w:rsidP="00EA66B6">
      <w:pPr>
        <w:jc w:val="both"/>
        <w:rPr>
          <w:sz w:val="22"/>
        </w:rPr>
      </w:pPr>
    </w:p>
    <w:p w:rsidR="005D750D" w:rsidRDefault="00927E2F" w:rsidP="00EA66B6">
      <w:pPr>
        <w:jc w:val="both"/>
        <w:rPr>
          <w:sz w:val="22"/>
        </w:rPr>
      </w:pPr>
      <w:r w:rsidRPr="00DA09B6">
        <w:rPr>
          <w:sz w:val="22"/>
        </w:rPr>
        <w:t xml:space="preserve">Le modèle hydrologique GR2M est utilisé pour </w:t>
      </w:r>
      <w:r w:rsidR="00D8443C">
        <w:rPr>
          <w:sz w:val="22"/>
        </w:rPr>
        <w:t>reconstituer</w:t>
      </w:r>
      <w:r w:rsidRPr="00DA09B6">
        <w:rPr>
          <w:sz w:val="22"/>
        </w:rPr>
        <w:t xml:space="preserve"> les débits mensuels aux stations hydrométriques sur les périodes où les données </w:t>
      </w:r>
      <w:r w:rsidR="00D8443C">
        <w:rPr>
          <w:sz w:val="22"/>
        </w:rPr>
        <w:t>d’observation</w:t>
      </w:r>
      <w:r w:rsidRPr="00DA09B6">
        <w:rPr>
          <w:sz w:val="22"/>
        </w:rPr>
        <w:t xml:space="preserve"> sont manquantes.</w:t>
      </w:r>
    </w:p>
    <w:p w:rsidR="00D8443C" w:rsidRPr="00DA09B6" w:rsidRDefault="00D8443C" w:rsidP="00EA66B6">
      <w:pPr>
        <w:jc w:val="both"/>
        <w:rPr>
          <w:sz w:val="22"/>
        </w:rPr>
      </w:pPr>
    </w:p>
    <w:p w:rsidR="00927E2F" w:rsidRPr="00DA09B6" w:rsidRDefault="00927E2F" w:rsidP="00EA66B6">
      <w:pPr>
        <w:jc w:val="both"/>
        <w:rPr>
          <w:sz w:val="22"/>
        </w:rPr>
      </w:pPr>
      <w:r w:rsidRPr="00DA09B6">
        <w:rPr>
          <w:sz w:val="22"/>
        </w:rPr>
        <w:t>Le</w:t>
      </w:r>
      <w:r w:rsidR="00D8443C">
        <w:rPr>
          <w:sz w:val="22"/>
        </w:rPr>
        <w:t>s résultats du</w:t>
      </w:r>
      <w:r w:rsidRPr="00DA09B6">
        <w:rPr>
          <w:sz w:val="22"/>
        </w:rPr>
        <w:t xml:space="preserve"> contrôle des performances du </w:t>
      </w:r>
      <w:r w:rsidRPr="00DA09B6">
        <w:rPr>
          <w:sz w:val="22"/>
        </w:rPr>
        <w:t xml:space="preserve">modèle GR2M </w:t>
      </w:r>
      <w:r w:rsidR="00792BB4">
        <w:rPr>
          <w:sz w:val="22"/>
        </w:rPr>
        <w:t>pour</w:t>
      </w:r>
      <w:r w:rsidR="00792BB4" w:rsidRPr="00DA09B6">
        <w:rPr>
          <w:sz w:val="22"/>
        </w:rPr>
        <w:t xml:space="preserve"> </w:t>
      </w:r>
      <w:r w:rsidRPr="00DA09B6">
        <w:rPr>
          <w:sz w:val="22"/>
        </w:rPr>
        <w:t xml:space="preserve">chaque </w:t>
      </w:r>
      <w:r w:rsidR="00D8443C">
        <w:rPr>
          <w:sz w:val="22"/>
        </w:rPr>
        <w:t>sous-</w:t>
      </w:r>
      <w:r w:rsidRPr="00DA09B6">
        <w:rPr>
          <w:sz w:val="22"/>
        </w:rPr>
        <w:t xml:space="preserve">bassin versant </w:t>
      </w:r>
      <w:r w:rsidR="00D8443C">
        <w:rPr>
          <w:sz w:val="22"/>
        </w:rPr>
        <w:t xml:space="preserve">sont donnés dans le </w:t>
      </w:r>
      <w:r w:rsidR="00D8443C" w:rsidRPr="00D8443C">
        <w:rPr>
          <w:sz w:val="22"/>
          <w:szCs w:val="22"/>
        </w:rPr>
        <w:fldChar w:fldCharType="begin"/>
      </w:r>
      <w:r w:rsidR="00D8443C" w:rsidRPr="00D8443C">
        <w:rPr>
          <w:sz w:val="22"/>
          <w:szCs w:val="22"/>
        </w:rPr>
        <w:instrText xml:space="preserve"> REF _Ref431312779 \h  \* MERGEFORMAT </w:instrText>
      </w:r>
      <w:r w:rsidR="00D8443C" w:rsidRPr="00D8443C">
        <w:rPr>
          <w:sz w:val="22"/>
          <w:szCs w:val="22"/>
        </w:rPr>
      </w:r>
      <w:r w:rsidR="00D8443C" w:rsidRPr="00D8443C">
        <w:rPr>
          <w:sz w:val="22"/>
          <w:szCs w:val="22"/>
        </w:rPr>
        <w:fldChar w:fldCharType="separate"/>
      </w:r>
      <w:r w:rsidR="00B35F4A" w:rsidRPr="00B35F4A">
        <w:rPr>
          <w:sz w:val="22"/>
          <w:szCs w:val="22"/>
        </w:rPr>
        <w:t xml:space="preserve">Tableau </w:t>
      </w:r>
      <w:r w:rsidR="00B35F4A" w:rsidRPr="00B35F4A">
        <w:rPr>
          <w:noProof/>
          <w:sz w:val="22"/>
          <w:szCs w:val="22"/>
        </w:rPr>
        <w:t>2</w:t>
      </w:r>
      <w:r w:rsidR="00D8443C" w:rsidRPr="00D8443C">
        <w:rPr>
          <w:sz w:val="22"/>
          <w:szCs w:val="22"/>
        </w:rPr>
        <w:fldChar w:fldCharType="end"/>
      </w:r>
      <w:r w:rsidR="00D8443C">
        <w:rPr>
          <w:sz w:val="22"/>
        </w:rPr>
        <w:t xml:space="preserve"> </w:t>
      </w:r>
      <w:r w:rsidRPr="00DA09B6">
        <w:rPr>
          <w:sz w:val="22"/>
        </w:rPr>
        <w:t xml:space="preserve">. Le critère de Nash en contrôle est très </w:t>
      </w:r>
      <w:r w:rsidRPr="00DA09B6">
        <w:rPr>
          <w:sz w:val="22"/>
        </w:rPr>
        <w:t>élevé pour les bassins du Bafing à Bafingdala et du Sassandra à Semien, respectivement 83.1 et 84.6. Il est bon à Guiglo (75.8), mais se dégrade sur les bassins du Lobo à Loboville et du Davo à Dakpadou, respectivement égal à 45.3 et 57.2. Cette dégradation pourrait s’expliquer d’une part par la période d’observation des débits plus faible sur le bassin de la Lobo, seulement 9 années complètes, d’autre part par la plus grande difficulté du modèle</w:t>
      </w:r>
      <w:r w:rsidR="004B1C08" w:rsidRPr="00DA09B6">
        <w:rPr>
          <w:sz w:val="22"/>
        </w:rPr>
        <w:t xml:space="preserve"> sur l</w:t>
      </w:r>
      <w:r w:rsidRPr="00DA09B6">
        <w:rPr>
          <w:sz w:val="22"/>
        </w:rPr>
        <w:t>es bassins dont le régime hydrologique saisonnier présente deux maxima.</w:t>
      </w:r>
    </w:p>
    <w:p w:rsidR="00927E2F" w:rsidRPr="00DA09B6" w:rsidRDefault="00927E2F" w:rsidP="00EA66B6">
      <w:pPr>
        <w:jc w:val="both"/>
        <w:rPr>
          <w:sz w:val="22"/>
        </w:rPr>
      </w:pPr>
    </w:p>
    <w:p w:rsidR="004B1C08" w:rsidRPr="00DA09B6" w:rsidRDefault="00D8443C" w:rsidP="00EA66B6">
      <w:pPr>
        <w:jc w:val="both"/>
        <w:rPr>
          <w:sz w:val="22"/>
        </w:rPr>
      </w:pPr>
      <w:r>
        <w:rPr>
          <w:sz w:val="22"/>
        </w:rPr>
        <w:t>L</w:t>
      </w:r>
      <w:r w:rsidR="004B1C08" w:rsidRPr="00DA09B6">
        <w:rPr>
          <w:sz w:val="22"/>
        </w:rPr>
        <w:t>a série des débits retenue pour le calage du bassin versant du Sassandra à Buyo est celle des apports nets établi</w:t>
      </w:r>
      <w:r>
        <w:rPr>
          <w:sz w:val="22"/>
        </w:rPr>
        <w:t>e</w:t>
      </w:r>
      <w:r w:rsidR="004B1C08" w:rsidRPr="00DA09B6">
        <w:rPr>
          <w:sz w:val="22"/>
        </w:rPr>
        <w:t xml:space="preserve"> précedemment sur la période 1981-2014 grâce aux données d’exploitation. En dépit des réserves concernant la qualité de ces données, le critère de Nash est élevé, égal à 82.1.</w:t>
      </w:r>
    </w:p>
    <w:p w:rsidR="00927E2F" w:rsidRPr="00DA09B6" w:rsidRDefault="00927E2F" w:rsidP="00EA66B6">
      <w:pPr>
        <w:jc w:val="both"/>
        <w:rPr>
          <w:sz w:val="22"/>
        </w:rPr>
      </w:pPr>
    </w:p>
    <w:p w:rsidR="0033125C" w:rsidRPr="009B5B56" w:rsidRDefault="009B5B56" w:rsidP="00EA66B6">
      <w:pPr>
        <w:jc w:val="both"/>
        <w:rPr>
          <w:sz w:val="22"/>
        </w:rPr>
      </w:pPr>
      <w:r>
        <w:rPr>
          <w:sz w:val="22"/>
        </w:rPr>
        <w:t>L</w:t>
      </w:r>
      <w:r w:rsidR="0033125C" w:rsidRPr="00DA09B6">
        <w:rPr>
          <w:sz w:val="22"/>
        </w:rPr>
        <w:t xml:space="preserve">’application du modèle hydrologique GR2M aux différents </w:t>
      </w:r>
      <w:r w:rsidR="00D8443C">
        <w:rPr>
          <w:sz w:val="22"/>
        </w:rPr>
        <w:t>sous-bass</w:t>
      </w:r>
      <w:r w:rsidR="0033125C" w:rsidRPr="00DA09B6">
        <w:rPr>
          <w:sz w:val="22"/>
        </w:rPr>
        <w:t xml:space="preserve">ins versants </w:t>
      </w:r>
      <w:r w:rsidR="0094300B" w:rsidRPr="00DA09B6">
        <w:rPr>
          <w:sz w:val="22"/>
        </w:rPr>
        <w:t xml:space="preserve">jaugés </w:t>
      </w:r>
      <w:r>
        <w:rPr>
          <w:sz w:val="22"/>
        </w:rPr>
        <w:t xml:space="preserve">du Sassandra permet </w:t>
      </w:r>
      <w:r w:rsidR="00E60BD0">
        <w:rPr>
          <w:sz w:val="22"/>
        </w:rPr>
        <w:t xml:space="preserve">la </w:t>
      </w:r>
      <w:proofErr w:type="spellStart"/>
      <w:r w:rsidR="00E60BD0">
        <w:rPr>
          <w:sz w:val="22"/>
        </w:rPr>
        <w:t>reconsitution</w:t>
      </w:r>
      <w:proofErr w:type="spellEnd"/>
      <w:r w:rsidR="00E60BD0">
        <w:rPr>
          <w:sz w:val="22"/>
        </w:rPr>
        <w:t xml:space="preserve"> et l’extension </w:t>
      </w:r>
      <w:r>
        <w:rPr>
          <w:sz w:val="22"/>
        </w:rPr>
        <w:t>des séries mensuelles complètes des débits sur la période 1954-2013</w:t>
      </w:r>
      <w:r w:rsidR="0033125C" w:rsidRPr="00DA09B6">
        <w:rPr>
          <w:sz w:val="22"/>
        </w:rPr>
        <w:t>.</w:t>
      </w:r>
      <w:r>
        <w:rPr>
          <w:sz w:val="22"/>
        </w:rPr>
        <w:t xml:space="preserve"> Les principales caractéristiques hydrologiques de ces bassins sont données dans le</w:t>
      </w:r>
      <w:r>
        <w:rPr>
          <w:sz w:val="24"/>
        </w:rPr>
        <w:t xml:space="preserve"> </w:t>
      </w:r>
      <w:r w:rsidRPr="009B5B56">
        <w:rPr>
          <w:sz w:val="22"/>
          <w:szCs w:val="22"/>
        </w:rPr>
        <w:fldChar w:fldCharType="begin"/>
      </w:r>
      <w:r w:rsidRPr="009B5B56">
        <w:rPr>
          <w:sz w:val="22"/>
          <w:szCs w:val="22"/>
        </w:rPr>
        <w:instrText xml:space="preserve"> REF _Ref431313196 \h </w:instrText>
      </w:r>
      <w:r>
        <w:rPr>
          <w:sz w:val="22"/>
          <w:szCs w:val="22"/>
        </w:rPr>
        <w:instrText xml:space="preserve"> \* MERGEFORMAT </w:instrText>
      </w:r>
      <w:r w:rsidRPr="009B5B56">
        <w:rPr>
          <w:sz w:val="22"/>
          <w:szCs w:val="22"/>
        </w:rPr>
      </w:r>
      <w:r w:rsidRPr="009B5B56">
        <w:rPr>
          <w:sz w:val="22"/>
          <w:szCs w:val="22"/>
        </w:rPr>
        <w:fldChar w:fldCharType="separate"/>
      </w:r>
      <w:r w:rsidR="00B35F4A" w:rsidRPr="00B35F4A">
        <w:rPr>
          <w:sz w:val="22"/>
          <w:szCs w:val="22"/>
        </w:rPr>
        <w:t xml:space="preserve">Tableau </w:t>
      </w:r>
      <w:r w:rsidR="00B35F4A" w:rsidRPr="00B35F4A">
        <w:rPr>
          <w:noProof/>
          <w:sz w:val="22"/>
          <w:szCs w:val="22"/>
        </w:rPr>
        <w:t>3</w:t>
      </w:r>
      <w:r w:rsidRPr="009B5B56">
        <w:rPr>
          <w:sz w:val="22"/>
          <w:szCs w:val="22"/>
        </w:rPr>
        <w:fldChar w:fldCharType="end"/>
      </w:r>
      <w:r>
        <w:rPr>
          <w:sz w:val="22"/>
        </w:rPr>
        <w:t>.</w:t>
      </w:r>
    </w:p>
    <w:p w:rsidR="009B5B56" w:rsidRDefault="009B5B56" w:rsidP="00EA66B6">
      <w:pPr>
        <w:jc w:val="both"/>
        <w:rPr>
          <w:sz w:val="22"/>
        </w:rPr>
      </w:pPr>
    </w:p>
    <w:p w:rsidR="0033125C" w:rsidRPr="00DA09B6" w:rsidRDefault="0033125C" w:rsidP="00EA66B6">
      <w:pPr>
        <w:jc w:val="both"/>
        <w:rPr>
          <w:sz w:val="22"/>
        </w:rPr>
      </w:pPr>
      <w:r w:rsidRPr="00DA09B6">
        <w:rPr>
          <w:sz w:val="22"/>
        </w:rPr>
        <w:t xml:space="preserve">Les </w:t>
      </w:r>
      <w:r w:rsidR="00D8443C">
        <w:rPr>
          <w:sz w:val="22"/>
        </w:rPr>
        <w:t>sous-bass</w:t>
      </w:r>
      <w:r w:rsidRPr="00DA09B6">
        <w:rPr>
          <w:sz w:val="22"/>
        </w:rPr>
        <w:t xml:space="preserve">ins présentant les lames d’eau écoulées annuelles les plus élevées sont le N’zo à Guiglo et le Bafing à Bafingdala avec respectivement 360 mm et 327 mm. Le Sassandra à Semien atteint 230 mm. Les affluents Lobo et Dakpadou présentent des lames d’eau plus faibles, respectivement 97 mm et 177 mm. Ceci s’explique par une pluviométrie plus faible et par le régime pluviométrique équatorial de transition qui domine ces </w:t>
      </w:r>
      <w:r w:rsidR="00D8443C">
        <w:rPr>
          <w:sz w:val="22"/>
        </w:rPr>
        <w:t>sous-bass</w:t>
      </w:r>
      <w:r w:rsidRPr="00DA09B6">
        <w:rPr>
          <w:sz w:val="22"/>
        </w:rPr>
        <w:t>ins. La répartition saisonnière des pluies en deux saisons des pluies y est moins favorable pour la génération du ruissellement que dans le régime tropical à une seule saison des pluies.</w:t>
      </w:r>
    </w:p>
    <w:p w:rsidR="0033125C" w:rsidRPr="00DA09B6" w:rsidRDefault="0033125C" w:rsidP="0033125C">
      <w:pPr>
        <w:pStyle w:val="Titre2"/>
      </w:pPr>
      <w:r w:rsidRPr="00DA09B6">
        <w:t>Estimation des séries de débits des bassins versants d’intérêt</w:t>
      </w:r>
    </w:p>
    <w:p w:rsidR="0033125C" w:rsidRPr="00DA09B6" w:rsidRDefault="0033125C" w:rsidP="00EA66B6">
      <w:pPr>
        <w:jc w:val="both"/>
        <w:rPr>
          <w:sz w:val="22"/>
        </w:rPr>
      </w:pPr>
    </w:p>
    <w:p w:rsidR="0033125C" w:rsidRPr="003A4033" w:rsidRDefault="0033125C" w:rsidP="00EA66B6">
      <w:pPr>
        <w:jc w:val="both"/>
        <w:rPr>
          <w:b/>
          <w:sz w:val="22"/>
        </w:rPr>
      </w:pPr>
      <w:r w:rsidRPr="003A4033">
        <w:rPr>
          <w:b/>
          <w:sz w:val="22"/>
        </w:rPr>
        <w:t xml:space="preserve">Méthode de transposition </w:t>
      </w:r>
    </w:p>
    <w:p w:rsidR="0033125C" w:rsidRPr="00DA09B6" w:rsidRDefault="0033125C" w:rsidP="00EA66B6">
      <w:pPr>
        <w:jc w:val="both"/>
        <w:rPr>
          <w:sz w:val="22"/>
        </w:rPr>
      </w:pPr>
    </w:p>
    <w:p w:rsidR="0033125C" w:rsidRDefault="0061403F" w:rsidP="00EA66B6">
      <w:pPr>
        <w:jc w:val="both"/>
        <w:rPr>
          <w:sz w:val="22"/>
        </w:rPr>
      </w:pPr>
      <w:r>
        <w:rPr>
          <w:sz w:val="22"/>
        </w:rPr>
        <w:t xml:space="preserve">Les </w:t>
      </w:r>
      <w:r w:rsidR="00D8443C">
        <w:rPr>
          <w:sz w:val="22"/>
        </w:rPr>
        <w:t>sous-bass</w:t>
      </w:r>
      <w:r w:rsidR="0033125C" w:rsidRPr="00DA09B6">
        <w:rPr>
          <w:sz w:val="22"/>
        </w:rPr>
        <w:t>ins versants</w:t>
      </w:r>
      <w:r>
        <w:rPr>
          <w:sz w:val="22"/>
        </w:rPr>
        <w:t xml:space="preserve"> du modèle de gestion intégrée sont des bassins versants</w:t>
      </w:r>
      <w:r w:rsidR="0033125C" w:rsidRPr="00DA09B6">
        <w:rPr>
          <w:sz w:val="22"/>
        </w:rPr>
        <w:t xml:space="preserve"> non </w:t>
      </w:r>
      <w:r w:rsidR="00DA09B6" w:rsidRPr="00DA09B6">
        <w:rPr>
          <w:sz w:val="22"/>
        </w:rPr>
        <w:t>jaugés. Les</w:t>
      </w:r>
      <w:r w:rsidR="0033125C" w:rsidRPr="00DA09B6">
        <w:rPr>
          <w:sz w:val="22"/>
        </w:rPr>
        <w:t xml:space="preserve"> contraintes opérationnelles en bureau d’étude ne permettent pas de mettre en place des méthodes complexes de régionalisation. Appliquée avec une station hydrométrique de référence choisie avec attention, la méthode de transposition des débits par ratio de la pluviométrie et </w:t>
      </w:r>
      <w:r>
        <w:rPr>
          <w:sz w:val="22"/>
        </w:rPr>
        <w:t xml:space="preserve">de </w:t>
      </w:r>
      <w:r w:rsidR="0033125C" w:rsidRPr="00DA09B6">
        <w:rPr>
          <w:sz w:val="22"/>
        </w:rPr>
        <w:t>la superficie des bassins versants montre en général des résultats satisfaisants.</w:t>
      </w:r>
    </w:p>
    <w:p w:rsidR="0061403F" w:rsidRPr="00DA09B6" w:rsidRDefault="0061403F" w:rsidP="00EA66B6">
      <w:pPr>
        <w:jc w:val="both"/>
        <w:rPr>
          <w:sz w:val="22"/>
        </w:rPr>
      </w:pPr>
    </w:p>
    <w:p w:rsidR="0033125C" w:rsidRDefault="0033125C" w:rsidP="00EA66B6">
      <w:pPr>
        <w:jc w:val="both"/>
        <w:rPr>
          <w:sz w:val="22"/>
        </w:rPr>
      </w:pPr>
      <w:r w:rsidRPr="00DA09B6">
        <w:rPr>
          <w:sz w:val="22"/>
        </w:rPr>
        <w:t xml:space="preserve">La justesse de la méthode de transposition dans le bassin du Sassandra est testée. Pour cela les débits observés du Sassandra à Piebli </w:t>
      </w:r>
      <w:r w:rsidR="0061403F">
        <w:rPr>
          <w:sz w:val="22"/>
        </w:rPr>
        <w:t xml:space="preserve">sont comparés </w:t>
      </w:r>
      <w:r w:rsidRPr="00DA09B6">
        <w:rPr>
          <w:sz w:val="22"/>
        </w:rPr>
        <w:t>aux débits estimés au même endroit par application de la méthode de transposition avec la station de Semien comme station de référence.</w:t>
      </w:r>
      <w:r w:rsidR="006B41F5">
        <w:rPr>
          <w:sz w:val="22"/>
        </w:rPr>
        <w:t xml:space="preserve"> Les résultats sont donnés dans le </w:t>
      </w:r>
      <w:r w:rsidR="006B41F5" w:rsidRPr="006B41F5">
        <w:rPr>
          <w:sz w:val="22"/>
          <w:szCs w:val="22"/>
        </w:rPr>
        <w:fldChar w:fldCharType="begin"/>
      </w:r>
      <w:r w:rsidR="006B41F5" w:rsidRPr="006B41F5">
        <w:rPr>
          <w:sz w:val="22"/>
          <w:szCs w:val="22"/>
        </w:rPr>
        <w:instrText xml:space="preserve"> REF _Ref431314047 \h </w:instrText>
      </w:r>
      <w:r w:rsidR="006B41F5">
        <w:rPr>
          <w:sz w:val="22"/>
          <w:szCs w:val="22"/>
        </w:rPr>
        <w:instrText xml:space="preserve"> \* MERGEFORMAT </w:instrText>
      </w:r>
      <w:r w:rsidR="006B41F5" w:rsidRPr="006B41F5">
        <w:rPr>
          <w:sz w:val="22"/>
          <w:szCs w:val="22"/>
        </w:rPr>
      </w:r>
      <w:r w:rsidR="006B41F5" w:rsidRPr="006B41F5">
        <w:rPr>
          <w:sz w:val="22"/>
          <w:szCs w:val="22"/>
        </w:rPr>
        <w:fldChar w:fldCharType="separate"/>
      </w:r>
      <w:r w:rsidR="00B35F4A" w:rsidRPr="00B35F4A">
        <w:rPr>
          <w:sz w:val="22"/>
          <w:szCs w:val="22"/>
        </w:rPr>
        <w:t xml:space="preserve">Tableau </w:t>
      </w:r>
      <w:r w:rsidR="00B35F4A" w:rsidRPr="00B35F4A">
        <w:rPr>
          <w:noProof/>
          <w:sz w:val="22"/>
          <w:szCs w:val="22"/>
        </w:rPr>
        <w:t>4</w:t>
      </w:r>
      <w:r w:rsidR="006B41F5" w:rsidRPr="006B41F5">
        <w:rPr>
          <w:sz w:val="22"/>
          <w:szCs w:val="22"/>
        </w:rPr>
        <w:fldChar w:fldCharType="end"/>
      </w:r>
      <w:r w:rsidR="006B41F5">
        <w:rPr>
          <w:sz w:val="22"/>
        </w:rPr>
        <w:t xml:space="preserve"> . </w:t>
      </w:r>
      <w:r w:rsidRPr="00DA09B6">
        <w:rPr>
          <w:sz w:val="22"/>
        </w:rPr>
        <w:t>La pertinence de ce test est limitée par la faible disponibilité des données d’observation à la station de Piebli: de mai 198</w:t>
      </w:r>
      <w:r w:rsidR="00FC0CFF">
        <w:rPr>
          <w:sz w:val="22"/>
        </w:rPr>
        <w:t>1</w:t>
      </w:r>
      <w:r w:rsidRPr="00DA09B6">
        <w:rPr>
          <w:sz w:val="22"/>
        </w:rPr>
        <w:t xml:space="preserve"> à décembre 1982 et l’année 1985.</w:t>
      </w:r>
    </w:p>
    <w:p w:rsidR="006B41F5" w:rsidRPr="00DA09B6" w:rsidRDefault="006B41F5" w:rsidP="00EA66B6">
      <w:pPr>
        <w:jc w:val="both"/>
        <w:rPr>
          <w:sz w:val="22"/>
        </w:rPr>
      </w:pPr>
    </w:p>
    <w:p w:rsidR="0033125C" w:rsidRPr="00DA09B6" w:rsidRDefault="0033125C" w:rsidP="00EA66B6">
      <w:pPr>
        <w:jc w:val="both"/>
        <w:rPr>
          <w:sz w:val="22"/>
        </w:rPr>
      </w:pPr>
      <w:r w:rsidRPr="00DA09B6">
        <w:rPr>
          <w:sz w:val="22"/>
        </w:rPr>
        <w:t xml:space="preserve">Les débits estimés à Piebli sont très similaires aux débits </w:t>
      </w:r>
      <w:r w:rsidRPr="00217914">
        <w:rPr>
          <w:sz w:val="22"/>
        </w:rPr>
        <w:t>observés</w:t>
      </w:r>
      <w:r w:rsidR="006B41F5" w:rsidRPr="00217914">
        <w:rPr>
          <w:sz w:val="22"/>
        </w:rPr>
        <w:t xml:space="preserve"> (</w:t>
      </w:r>
      <w:r w:rsidR="00BE3FD4" w:rsidRPr="00217914">
        <w:rPr>
          <w:sz w:val="22"/>
        </w:rPr>
        <w:t>Fig.</w:t>
      </w:r>
      <w:r w:rsidR="006B41F5" w:rsidRPr="00217914">
        <w:rPr>
          <w:sz w:val="22"/>
        </w:rPr>
        <w:t>5a et 5b)</w:t>
      </w:r>
      <w:r w:rsidRPr="00217914">
        <w:rPr>
          <w:sz w:val="22"/>
        </w:rPr>
        <w:t>.</w:t>
      </w:r>
      <w:r w:rsidRPr="00DA09B6">
        <w:rPr>
          <w:sz w:val="22"/>
        </w:rPr>
        <w:t xml:space="preserve"> La lame d’eau cumulée sur la période d’observation vaut respectivement 5 089 mm et 5 066 mm. Le critère de Nash vaut 99.7.</w:t>
      </w:r>
    </w:p>
    <w:p w:rsidR="0033125C" w:rsidRPr="00DA09B6" w:rsidRDefault="0033125C" w:rsidP="00EA66B6">
      <w:pPr>
        <w:jc w:val="both"/>
        <w:rPr>
          <w:sz w:val="22"/>
        </w:rPr>
      </w:pPr>
    </w:p>
    <w:p w:rsidR="0033125C" w:rsidRPr="003A4033" w:rsidRDefault="00DD5EAD" w:rsidP="00EA66B6">
      <w:pPr>
        <w:jc w:val="both"/>
        <w:rPr>
          <w:b/>
          <w:sz w:val="22"/>
        </w:rPr>
      </w:pPr>
      <w:r w:rsidRPr="003A4033">
        <w:rPr>
          <w:b/>
          <w:sz w:val="22"/>
        </w:rPr>
        <w:t>Estimation des séries de débits</w:t>
      </w:r>
    </w:p>
    <w:p w:rsidR="00DD5EAD" w:rsidRPr="00DA09B6" w:rsidRDefault="00DD5EAD" w:rsidP="00EA66B6">
      <w:pPr>
        <w:jc w:val="both"/>
        <w:rPr>
          <w:sz w:val="22"/>
        </w:rPr>
      </w:pPr>
    </w:p>
    <w:p w:rsidR="00DD5EAD" w:rsidRPr="00DA09B6" w:rsidRDefault="00DD5EAD" w:rsidP="00EA66B6">
      <w:pPr>
        <w:jc w:val="both"/>
        <w:rPr>
          <w:sz w:val="22"/>
        </w:rPr>
      </w:pPr>
      <w:r w:rsidRPr="00DA09B6">
        <w:rPr>
          <w:sz w:val="22"/>
        </w:rPr>
        <w:t xml:space="preserve">La série mensuelle des débits sur la période 1954-2013 est établie pour chaque </w:t>
      </w:r>
      <w:r w:rsidR="00D8443C">
        <w:rPr>
          <w:sz w:val="22"/>
        </w:rPr>
        <w:t>sous-bass</w:t>
      </w:r>
      <w:r w:rsidRPr="00DA09B6">
        <w:rPr>
          <w:sz w:val="22"/>
        </w:rPr>
        <w:t xml:space="preserve">in versant du modèle de gestion </w:t>
      </w:r>
      <w:r w:rsidRPr="00DA09B6">
        <w:rPr>
          <w:sz w:val="22"/>
        </w:rPr>
        <w:t>intégré</w:t>
      </w:r>
      <w:r w:rsidR="004E1C8C">
        <w:rPr>
          <w:sz w:val="22"/>
        </w:rPr>
        <w:t>e</w:t>
      </w:r>
      <w:r w:rsidRPr="00DA09B6">
        <w:rPr>
          <w:sz w:val="22"/>
        </w:rPr>
        <w:t xml:space="preserve">. Le </w:t>
      </w:r>
      <w:r w:rsidRPr="00DA09B6">
        <w:rPr>
          <w:sz w:val="22"/>
        </w:rPr>
        <w:t>mode de ca</w:t>
      </w:r>
      <w:r w:rsidR="003A4033">
        <w:rPr>
          <w:sz w:val="22"/>
        </w:rPr>
        <w:t xml:space="preserve">lcul de ces séries est détaillé </w:t>
      </w:r>
      <w:r w:rsidR="003A4033" w:rsidRPr="0061403F">
        <w:rPr>
          <w:sz w:val="22"/>
          <w:szCs w:val="22"/>
        </w:rPr>
        <w:t xml:space="preserve">dans le </w:t>
      </w:r>
      <w:r w:rsidR="0061403F" w:rsidRPr="0061403F">
        <w:rPr>
          <w:sz w:val="22"/>
          <w:szCs w:val="22"/>
        </w:rPr>
        <w:fldChar w:fldCharType="begin"/>
      </w:r>
      <w:r w:rsidR="0061403F" w:rsidRPr="0061403F">
        <w:rPr>
          <w:sz w:val="22"/>
          <w:szCs w:val="22"/>
        </w:rPr>
        <w:instrText xml:space="preserve"> REF _Ref431313478 \h </w:instrText>
      </w:r>
      <w:r w:rsidR="0061403F">
        <w:rPr>
          <w:sz w:val="22"/>
          <w:szCs w:val="22"/>
        </w:rPr>
        <w:instrText xml:space="preserve"> \* MERGEFORMAT </w:instrText>
      </w:r>
      <w:r w:rsidR="0061403F" w:rsidRPr="0061403F">
        <w:rPr>
          <w:sz w:val="22"/>
          <w:szCs w:val="22"/>
        </w:rPr>
      </w:r>
      <w:r w:rsidR="0061403F" w:rsidRPr="0061403F">
        <w:rPr>
          <w:sz w:val="22"/>
          <w:szCs w:val="22"/>
        </w:rPr>
        <w:fldChar w:fldCharType="separate"/>
      </w:r>
      <w:r w:rsidR="00B35F4A" w:rsidRPr="00B35F4A">
        <w:rPr>
          <w:sz w:val="22"/>
          <w:szCs w:val="22"/>
        </w:rPr>
        <w:t xml:space="preserve">Tableau </w:t>
      </w:r>
      <w:r w:rsidR="00B35F4A" w:rsidRPr="00B35F4A">
        <w:rPr>
          <w:noProof/>
          <w:sz w:val="22"/>
          <w:szCs w:val="22"/>
        </w:rPr>
        <w:t>5</w:t>
      </w:r>
      <w:r w:rsidR="0061403F" w:rsidRPr="0061403F">
        <w:rPr>
          <w:sz w:val="22"/>
          <w:szCs w:val="22"/>
        </w:rPr>
        <w:fldChar w:fldCharType="end"/>
      </w:r>
      <w:r w:rsidR="0061403F">
        <w:rPr>
          <w:sz w:val="22"/>
        </w:rPr>
        <w:t>.</w:t>
      </w:r>
    </w:p>
    <w:p w:rsidR="00DD5EAD" w:rsidRPr="00DA09B6" w:rsidRDefault="00DD5EAD" w:rsidP="00EA66B6">
      <w:pPr>
        <w:jc w:val="both"/>
        <w:rPr>
          <w:sz w:val="22"/>
        </w:rPr>
      </w:pPr>
    </w:p>
    <w:p w:rsidR="00DD5EAD" w:rsidRPr="00DA09B6" w:rsidRDefault="00DD5EAD" w:rsidP="00EA66B6">
      <w:pPr>
        <w:jc w:val="both"/>
        <w:rPr>
          <w:sz w:val="22"/>
        </w:rPr>
      </w:pPr>
      <w:r w:rsidRPr="00DA09B6">
        <w:rPr>
          <w:sz w:val="22"/>
        </w:rPr>
        <w:t xml:space="preserve">La méthode de transposition est utilisée en cherchant le bassin versant de la station hydrométrique de référence le plus similaire du point du vue hydrologique au </w:t>
      </w:r>
      <w:r w:rsidR="00D8443C">
        <w:rPr>
          <w:sz w:val="22"/>
        </w:rPr>
        <w:t>sous-bass</w:t>
      </w:r>
      <w:r w:rsidRPr="00DA09B6">
        <w:rPr>
          <w:sz w:val="22"/>
        </w:rPr>
        <w:t>in versant étudié. La station de Bafingdala sur le Bafing sert de référence à la transposition des débits à Gao et Koulikoro situés aussi sur le Bafing.</w:t>
      </w:r>
      <w:r w:rsidR="00B67C4A" w:rsidRPr="00DA09B6">
        <w:rPr>
          <w:sz w:val="22"/>
        </w:rPr>
        <w:t xml:space="preserve"> La station de Semien sert de référence à la transposition des débits à Tayaboui situé environ 50 kilomètres à l’aval. La station de Guiglo sur le N’zo est utilisée comme référence pour le </w:t>
      </w:r>
      <w:r w:rsidR="00D8443C">
        <w:rPr>
          <w:sz w:val="22"/>
        </w:rPr>
        <w:t>sous-bass</w:t>
      </w:r>
      <w:r w:rsidR="00B67C4A" w:rsidRPr="00DA09B6">
        <w:rPr>
          <w:sz w:val="22"/>
        </w:rPr>
        <w:t xml:space="preserve">in versant intermédiaire entre Tayaboui et Buyo. Le bassin versant du N’zo à Guiglo constitue la plus grande partie de ce </w:t>
      </w:r>
      <w:r w:rsidR="00D8443C">
        <w:rPr>
          <w:sz w:val="22"/>
        </w:rPr>
        <w:t>sous-bass</w:t>
      </w:r>
      <w:r w:rsidR="00B67C4A" w:rsidRPr="00DA09B6">
        <w:rPr>
          <w:sz w:val="22"/>
        </w:rPr>
        <w:t xml:space="preserve">in, puisqu’il couvre 6 983 km² sur un total de 11 653 km², soit 60%. La station de Loboville sur le Lobo est utilisée comme référence pour le </w:t>
      </w:r>
      <w:r w:rsidR="00D8443C">
        <w:rPr>
          <w:sz w:val="22"/>
        </w:rPr>
        <w:t>sous-bass</w:t>
      </w:r>
      <w:r w:rsidR="00B67C4A" w:rsidRPr="00DA09B6">
        <w:rPr>
          <w:sz w:val="22"/>
        </w:rPr>
        <w:t xml:space="preserve">in versant intermédiaire entre Buyo et Soubré. Le bassin versant du Lobo à Loboville constitue la plus grande partie de ce </w:t>
      </w:r>
      <w:r w:rsidR="00D8443C">
        <w:rPr>
          <w:sz w:val="22"/>
        </w:rPr>
        <w:t>sous-bass</w:t>
      </w:r>
      <w:r w:rsidR="00B67C4A" w:rsidRPr="00DA09B6">
        <w:rPr>
          <w:sz w:val="22"/>
        </w:rPr>
        <w:t xml:space="preserve">in, puisqu’il couvre 12 693 km² sur un total de 15 750 km², soit 81%. Enfin, la station hydrométrique du Davo à Dakpadou est retenue pour l’estimation des apports des </w:t>
      </w:r>
      <w:r w:rsidR="00D8443C">
        <w:rPr>
          <w:sz w:val="22"/>
        </w:rPr>
        <w:t>sous-bass</w:t>
      </w:r>
      <w:r w:rsidR="00B67C4A" w:rsidRPr="00DA09B6">
        <w:rPr>
          <w:sz w:val="22"/>
        </w:rPr>
        <w:t>ins versants entre Soubré et Louga. Ce bief est en effet soumis à un climat équatorial de transition que l’on retrouve sur le bassin versant du Davo.</w:t>
      </w:r>
    </w:p>
    <w:p w:rsidR="0033125C" w:rsidRPr="00DA09B6" w:rsidRDefault="0033125C" w:rsidP="00EA66B6">
      <w:pPr>
        <w:jc w:val="both"/>
        <w:rPr>
          <w:sz w:val="22"/>
        </w:rPr>
      </w:pPr>
    </w:p>
    <w:p w:rsidR="0094300B" w:rsidRPr="00DA09B6" w:rsidRDefault="0094300B" w:rsidP="00EA66B6">
      <w:pPr>
        <w:jc w:val="both"/>
        <w:rPr>
          <w:sz w:val="22"/>
        </w:rPr>
      </w:pPr>
      <w:r w:rsidRPr="00DA09B6">
        <w:rPr>
          <w:sz w:val="22"/>
        </w:rPr>
        <w:t xml:space="preserve">Les principaux résultats de l’estimation des apports hydrologiques aux différents </w:t>
      </w:r>
      <w:r w:rsidR="00D8443C">
        <w:rPr>
          <w:sz w:val="22"/>
        </w:rPr>
        <w:t>sous-bass</w:t>
      </w:r>
      <w:r w:rsidRPr="00DA09B6">
        <w:rPr>
          <w:sz w:val="22"/>
        </w:rPr>
        <w:t>ins versants sont donnés</w:t>
      </w:r>
      <w:r w:rsidR="00391640">
        <w:rPr>
          <w:sz w:val="22"/>
        </w:rPr>
        <w:t xml:space="preserve"> dans le </w:t>
      </w:r>
      <w:r w:rsidR="00391640" w:rsidRPr="00391640">
        <w:rPr>
          <w:sz w:val="22"/>
          <w:szCs w:val="22"/>
        </w:rPr>
        <w:fldChar w:fldCharType="begin"/>
      </w:r>
      <w:r w:rsidR="00391640" w:rsidRPr="00391640">
        <w:rPr>
          <w:sz w:val="22"/>
          <w:szCs w:val="22"/>
        </w:rPr>
        <w:instrText xml:space="preserve"> REF _Ref431315232 \h </w:instrText>
      </w:r>
      <w:r w:rsidR="00391640">
        <w:rPr>
          <w:sz w:val="22"/>
          <w:szCs w:val="22"/>
        </w:rPr>
        <w:instrText xml:space="preserve"> \* MERGEFORMAT </w:instrText>
      </w:r>
      <w:r w:rsidR="00391640" w:rsidRPr="00391640">
        <w:rPr>
          <w:sz w:val="22"/>
          <w:szCs w:val="22"/>
        </w:rPr>
      </w:r>
      <w:r w:rsidR="00391640" w:rsidRPr="00391640">
        <w:rPr>
          <w:sz w:val="22"/>
          <w:szCs w:val="22"/>
        </w:rPr>
        <w:fldChar w:fldCharType="separate"/>
      </w:r>
      <w:r w:rsidR="00B35F4A" w:rsidRPr="00B35F4A">
        <w:rPr>
          <w:sz w:val="22"/>
          <w:szCs w:val="22"/>
        </w:rPr>
        <w:t xml:space="preserve">Tableau </w:t>
      </w:r>
      <w:r w:rsidR="00B35F4A" w:rsidRPr="00B35F4A">
        <w:rPr>
          <w:noProof/>
          <w:sz w:val="22"/>
          <w:szCs w:val="22"/>
        </w:rPr>
        <w:t>6</w:t>
      </w:r>
      <w:r w:rsidR="00391640" w:rsidRPr="00391640">
        <w:rPr>
          <w:sz w:val="22"/>
          <w:szCs w:val="22"/>
        </w:rPr>
        <w:fldChar w:fldCharType="end"/>
      </w:r>
      <w:r w:rsidRPr="00DA09B6">
        <w:rPr>
          <w:sz w:val="22"/>
        </w:rPr>
        <w:t xml:space="preserve">. La lame d’eau écoulée </w:t>
      </w:r>
      <w:r w:rsidR="00391640">
        <w:rPr>
          <w:sz w:val="22"/>
        </w:rPr>
        <w:t xml:space="preserve">moyenne </w:t>
      </w:r>
      <w:r w:rsidRPr="00DA09B6">
        <w:rPr>
          <w:sz w:val="22"/>
        </w:rPr>
        <w:t>annuelle présente une forte variabilité spatiale. Elle est maximale (257 à 339 mm/an) au centre ouest du bassin du Sassandra, c’est-à-dire la région la plus arrosée et où les conditions sont les plus favorables au ruissellement. A l’inverse, la contribution de la partie centre orientale du bassin, en particulier de l’affluent Lobo, est assez modeste. La lame d’écoulée y est en moyenne de moins de 100 mm/an. Enfin, dans le cours inférieur du Sassandra à l’aval de Soubré, la lame d’eau écoulée est estimée à environ 200 mm</w:t>
      </w:r>
      <w:r w:rsidR="00CD0C29" w:rsidRPr="00DA09B6">
        <w:rPr>
          <w:sz w:val="22"/>
        </w:rPr>
        <w:t xml:space="preserve">. Dans cette région forestière, le cumul annuel de pluie est </w:t>
      </w:r>
      <w:r w:rsidR="00DA09B6" w:rsidRPr="00DA09B6">
        <w:rPr>
          <w:sz w:val="22"/>
        </w:rPr>
        <w:t>élevé</w:t>
      </w:r>
      <w:r w:rsidR="00CD0C29" w:rsidRPr="00DA09B6">
        <w:rPr>
          <w:sz w:val="22"/>
        </w:rPr>
        <w:t>, mais le coefficient de ruissellement est inférieur à celui que l’on trouve plus au nord.</w:t>
      </w:r>
    </w:p>
    <w:p w:rsidR="0094300B" w:rsidRPr="00DA09B6" w:rsidRDefault="0094300B" w:rsidP="00EA66B6">
      <w:pPr>
        <w:jc w:val="both"/>
        <w:rPr>
          <w:sz w:val="22"/>
        </w:rPr>
      </w:pPr>
    </w:p>
    <w:p w:rsidR="001F5439" w:rsidRPr="00DA09B6" w:rsidRDefault="001F5439" w:rsidP="00EA66B6">
      <w:pPr>
        <w:jc w:val="both"/>
        <w:rPr>
          <w:sz w:val="22"/>
        </w:rPr>
      </w:pPr>
      <w:r w:rsidRPr="00DA09B6">
        <w:rPr>
          <w:sz w:val="22"/>
        </w:rPr>
        <w:t xml:space="preserve">Un contrôle des résultats de l’estimation des apports hydrologiques aux </w:t>
      </w:r>
      <w:r w:rsidR="00D8443C">
        <w:rPr>
          <w:sz w:val="22"/>
        </w:rPr>
        <w:t>sous-bass</w:t>
      </w:r>
      <w:r w:rsidRPr="00DA09B6">
        <w:rPr>
          <w:sz w:val="22"/>
        </w:rPr>
        <w:t xml:space="preserve">ins versants est réalisé. Pour cela, la série obtenue par la somme des apports des </w:t>
      </w:r>
      <w:r w:rsidR="00D8443C">
        <w:rPr>
          <w:sz w:val="22"/>
        </w:rPr>
        <w:t>sous-bass</w:t>
      </w:r>
      <w:r w:rsidRPr="00DA09B6">
        <w:rPr>
          <w:sz w:val="22"/>
        </w:rPr>
        <w:t xml:space="preserve">ins à l’amont de Buyo est comparée à la série des apports hydrologiques à Buyo obtenue par modélisation hydrologique du bassin versant total du Sassandra à Buyo (1954-1980) et bilan en eau du réservoir (1981-2014). Cette série elle-même issue d’un calcul hydrologique ne peut pas être considérée comme représentative des débits réels du Sassandra à Buyo. Cependant, la comparaison permet d’éprouver l’homogénéité de deux séries obtenues de façon </w:t>
      </w:r>
      <w:r w:rsidRPr="00217914">
        <w:rPr>
          <w:sz w:val="22"/>
        </w:rPr>
        <w:t>indépendante</w:t>
      </w:r>
      <w:r w:rsidR="00391640" w:rsidRPr="00217914">
        <w:rPr>
          <w:sz w:val="22"/>
        </w:rPr>
        <w:t xml:space="preserve"> (</w:t>
      </w:r>
      <w:r w:rsidR="00BE3FD4" w:rsidRPr="00217914">
        <w:rPr>
          <w:sz w:val="22"/>
        </w:rPr>
        <w:t>Fig.</w:t>
      </w:r>
      <w:r w:rsidR="00391640" w:rsidRPr="00217914">
        <w:rPr>
          <w:sz w:val="22"/>
        </w:rPr>
        <w:t xml:space="preserve"> 6a et 6b)</w:t>
      </w:r>
      <w:r w:rsidRPr="00217914">
        <w:rPr>
          <w:sz w:val="22"/>
        </w:rPr>
        <w:t>.</w:t>
      </w:r>
      <w:r w:rsidRPr="00DA09B6">
        <w:rPr>
          <w:sz w:val="22"/>
        </w:rPr>
        <w:t xml:space="preserve"> Calculée sur la période 1954-2013, la lame d’eau écoulée vaut respectivement 255 mm et 246 mm, soit une différence inférieure à 4%</w:t>
      </w:r>
      <w:r w:rsidR="00C25069" w:rsidRPr="00DA09B6">
        <w:rPr>
          <w:sz w:val="22"/>
        </w:rPr>
        <w:t>.</w:t>
      </w:r>
    </w:p>
    <w:p w:rsidR="001F5439" w:rsidRDefault="001F5439" w:rsidP="00EA66B6">
      <w:pPr>
        <w:jc w:val="both"/>
        <w:rPr>
          <w:sz w:val="22"/>
        </w:rPr>
      </w:pPr>
    </w:p>
    <w:p w:rsidR="00391640" w:rsidRDefault="00391640" w:rsidP="00391640">
      <w:pPr>
        <w:jc w:val="both"/>
        <w:rPr>
          <w:sz w:val="22"/>
        </w:rPr>
      </w:pPr>
      <w:r w:rsidRPr="00DA09B6">
        <w:rPr>
          <w:sz w:val="22"/>
        </w:rPr>
        <w:t xml:space="preserve">De façon similaire, la série obtenue par la somme des apports des </w:t>
      </w:r>
      <w:r>
        <w:rPr>
          <w:sz w:val="22"/>
        </w:rPr>
        <w:t>sous-bass</w:t>
      </w:r>
      <w:r w:rsidRPr="00DA09B6">
        <w:rPr>
          <w:sz w:val="22"/>
        </w:rPr>
        <w:t xml:space="preserve">ins à l’amont de Soubré est comparée à la série des débits observés à la station hydrométrique de </w:t>
      </w:r>
      <w:r w:rsidRPr="00217914">
        <w:rPr>
          <w:sz w:val="22"/>
        </w:rPr>
        <w:t>Soubré (</w:t>
      </w:r>
      <w:r w:rsidR="00BE3FD4" w:rsidRPr="00217914">
        <w:rPr>
          <w:sz w:val="22"/>
        </w:rPr>
        <w:t>Fig.</w:t>
      </w:r>
      <w:r w:rsidRPr="00217914">
        <w:rPr>
          <w:sz w:val="22"/>
        </w:rPr>
        <w:t xml:space="preserve"> 7a et 7b).</w:t>
      </w:r>
      <w:r w:rsidRPr="00DA09B6">
        <w:rPr>
          <w:sz w:val="22"/>
        </w:rPr>
        <w:t xml:space="preserve"> Comme les débits observés à Soubré sont régularisés depuis la mise en service de Buyo au début des années 1980, la comparaison est</w:t>
      </w:r>
      <w:r>
        <w:rPr>
          <w:sz w:val="22"/>
        </w:rPr>
        <w:t xml:space="preserve"> limitée à la période 1954-1979</w:t>
      </w:r>
      <w:r w:rsidRPr="00DA09B6">
        <w:rPr>
          <w:sz w:val="22"/>
        </w:rPr>
        <w:t>. Calculée sur la période 1954-1979, la lame d’eau écoulée vaut respectivement 242 mm et 260 mm, soit une différence inférieure à 7%. Le critère de Nash vaut 89.9.</w:t>
      </w:r>
    </w:p>
    <w:p w:rsidR="00111B78" w:rsidRDefault="00111B78" w:rsidP="00391640">
      <w:pPr>
        <w:jc w:val="both"/>
        <w:rPr>
          <w:sz w:val="22"/>
        </w:rPr>
      </w:pPr>
      <w:r>
        <w:rPr>
          <w:sz w:val="22"/>
        </w:rPr>
        <w:t>L’analyse des différences entre les deux séries montre que les plus gros biais sont observés pour le mois d’octobre. Par rapport aux débits observés, les débits obtenus en sommant les débits des sous-bassins à l’amont de Soubré sous-estiment en moyenne les débits du mois d’octobre de 24%. Ce sont les bassins soumis au régime pluviométrique équatorial de transition qui présentent un maximum de débit en octobre. L’important biais observé au mois d’octobre pourrait donc s’expliquer</w:t>
      </w:r>
      <w:r w:rsidR="006E25A4">
        <w:rPr>
          <w:sz w:val="22"/>
        </w:rPr>
        <w:t xml:space="preserve"> en partie</w:t>
      </w:r>
      <w:r>
        <w:rPr>
          <w:sz w:val="22"/>
        </w:rPr>
        <w:t xml:space="preserve"> par une sous-estimation des apports du bassin versant intermédiaire entre Buyo et Soubré. En effet, ces apports sont déduits de la série des débits du Lobo à Loboville. Or </w:t>
      </w:r>
      <w:r w:rsidR="006E25A4">
        <w:rPr>
          <w:sz w:val="22"/>
        </w:rPr>
        <w:t>la disponibilité</w:t>
      </w:r>
      <w:r>
        <w:rPr>
          <w:sz w:val="22"/>
        </w:rPr>
        <w:t xml:space="preserve"> des débits observés à cette station est faible (1998-2007) et la modélisation hydrologique de ce sous-bassin a posé des difficultés (période de calage réduite, score de Nash le plus faible des bassins étudiés).</w:t>
      </w:r>
    </w:p>
    <w:p w:rsidR="00111B78" w:rsidRDefault="00111B78" w:rsidP="00391640">
      <w:pPr>
        <w:jc w:val="both"/>
        <w:rPr>
          <w:sz w:val="22"/>
        </w:rPr>
      </w:pPr>
    </w:p>
    <w:p w:rsidR="00B30346" w:rsidRPr="00DA09B6" w:rsidRDefault="00D4476C" w:rsidP="00B30346">
      <w:pPr>
        <w:pStyle w:val="Titre2"/>
      </w:pPr>
      <w:r>
        <w:lastRenderedPageBreak/>
        <w:t>Discussion et conclusion</w:t>
      </w:r>
    </w:p>
    <w:p w:rsidR="00B30346" w:rsidRPr="00DA09B6" w:rsidRDefault="00B30346" w:rsidP="00EA66B6">
      <w:pPr>
        <w:jc w:val="both"/>
        <w:rPr>
          <w:sz w:val="22"/>
        </w:rPr>
      </w:pPr>
    </w:p>
    <w:p w:rsidR="00CE59AD" w:rsidRDefault="00CE59AD" w:rsidP="00EA66B6">
      <w:pPr>
        <w:jc w:val="both"/>
        <w:rPr>
          <w:sz w:val="22"/>
        </w:rPr>
      </w:pPr>
      <w:r>
        <w:rPr>
          <w:sz w:val="22"/>
        </w:rPr>
        <w:t>Le modèle intégré du fonctionnement hydraulique du bassin du Sassandra est forcé par les séries mensuelles des débits 1954-2013 établies pour l’ensemble des sous-bassins versants.</w:t>
      </w:r>
    </w:p>
    <w:p w:rsidR="00CE59AD" w:rsidRDefault="00CE59AD" w:rsidP="00EA66B6">
      <w:pPr>
        <w:jc w:val="both"/>
        <w:rPr>
          <w:sz w:val="22"/>
        </w:rPr>
      </w:pPr>
    </w:p>
    <w:p w:rsidR="00DB59C6" w:rsidRDefault="00CE59AD" w:rsidP="00EA66B6">
      <w:pPr>
        <w:jc w:val="both"/>
        <w:rPr>
          <w:sz w:val="22"/>
        </w:rPr>
      </w:pPr>
      <w:r>
        <w:rPr>
          <w:sz w:val="22"/>
        </w:rPr>
        <w:t>La simulation du fonctionnement de l’aménagement</w:t>
      </w:r>
      <w:r w:rsidR="003F44A4">
        <w:rPr>
          <w:sz w:val="22"/>
        </w:rPr>
        <w:t xml:space="preserve"> Buyo</w:t>
      </w:r>
      <w:r>
        <w:rPr>
          <w:sz w:val="22"/>
        </w:rPr>
        <w:t xml:space="preserve"> est requise pour reproduire sur l’ensemble de la période de simulation la régularisation des débits du Sassandra à l’aval de Buyo. La reproduction parfaitement fidèle du fonctionnement de Buyo est impossible à atteindre. En effet, les règles d’opération paramétrées dans le modèle relèvent d’un niveau de gestion stratégique. Ces règles suivent la même logique chaque année de la période de simulation :</w:t>
      </w:r>
    </w:p>
    <w:p w:rsidR="00CE59AD" w:rsidRPr="00CE59AD" w:rsidRDefault="00CE59AD" w:rsidP="00CE59AD">
      <w:pPr>
        <w:ind w:left="705" w:hanging="705"/>
        <w:jc w:val="both"/>
        <w:rPr>
          <w:sz w:val="22"/>
        </w:rPr>
      </w:pPr>
      <w:r w:rsidRPr="00CE59AD">
        <w:rPr>
          <w:sz w:val="22"/>
        </w:rPr>
        <w:t>1.</w:t>
      </w:r>
      <w:r w:rsidRPr="00CE59AD">
        <w:rPr>
          <w:sz w:val="22"/>
        </w:rPr>
        <w:tab/>
      </w:r>
      <w:r>
        <w:rPr>
          <w:sz w:val="22"/>
        </w:rPr>
        <w:t>s</w:t>
      </w:r>
      <w:r w:rsidRPr="00CE59AD">
        <w:rPr>
          <w:sz w:val="22"/>
        </w:rPr>
        <w:t>atisfaire la demande en énergie tant que le niveau d’eau dans le réservoir se maintient au-dessus du niveau minimum d’exploitation ;</w:t>
      </w:r>
    </w:p>
    <w:p w:rsidR="00CE59AD" w:rsidRDefault="00CE59AD" w:rsidP="00CE59AD">
      <w:pPr>
        <w:ind w:left="705" w:hanging="705"/>
        <w:jc w:val="both"/>
        <w:rPr>
          <w:sz w:val="22"/>
        </w:rPr>
      </w:pPr>
      <w:r>
        <w:rPr>
          <w:sz w:val="22"/>
        </w:rPr>
        <w:t>2.</w:t>
      </w:r>
      <w:r>
        <w:rPr>
          <w:sz w:val="22"/>
        </w:rPr>
        <w:tab/>
        <w:t>l</w:t>
      </w:r>
      <w:r w:rsidRPr="00CE59AD">
        <w:rPr>
          <w:sz w:val="22"/>
        </w:rPr>
        <w:t>es excès d’eau (lorsque les apports totaux sont supérieurs à la demande en eau à turbiner) sont stockés dans le réservoir jusqu’à ce que le niveau d’eau atteigne la cote de retenue normale. Au-delà, les excès d’eau sont turbinés dans la limite du débit d’équipemen</w:t>
      </w:r>
      <w:r>
        <w:rPr>
          <w:sz w:val="22"/>
        </w:rPr>
        <w:t>t de l’usine hydroélectrique, puis</w:t>
      </w:r>
      <w:r w:rsidRPr="00CE59AD">
        <w:rPr>
          <w:sz w:val="22"/>
        </w:rPr>
        <w:t xml:space="preserve"> déversés.</w:t>
      </w:r>
    </w:p>
    <w:p w:rsidR="00CE59AD" w:rsidRDefault="00CE59AD" w:rsidP="00EA66B6">
      <w:pPr>
        <w:jc w:val="both"/>
        <w:rPr>
          <w:sz w:val="22"/>
        </w:rPr>
      </w:pPr>
    </w:p>
    <w:p w:rsidR="007A0FD8" w:rsidRDefault="00CE59AD" w:rsidP="00EA66B6">
      <w:pPr>
        <w:jc w:val="both"/>
        <w:rPr>
          <w:sz w:val="22"/>
        </w:rPr>
      </w:pPr>
      <w:r>
        <w:rPr>
          <w:sz w:val="22"/>
        </w:rPr>
        <w:t xml:space="preserve">Or la gestion réelle de l’aménagement de Buyo relève de la gestion opérationnelle qui </w:t>
      </w:r>
      <w:r w:rsidR="007A0FD8">
        <w:rPr>
          <w:sz w:val="22"/>
        </w:rPr>
        <w:t>est réalisée en intégrant</w:t>
      </w:r>
      <w:r>
        <w:rPr>
          <w:sz w:val="22"/>
        </w:rPr>
        <w:t xml:space="preserve"> des prévisions hydrologiques,</w:t>
      </w:r>
      <w:r w:rsidR="007A0FD8">
        <w:rPr>
          <w:sz w:val="22"/>
        </w:rPr>
        <w:t xml:space="preserve"> </w:t>
      </w:r>
      <w:r>
        <w:rPr>
          <w:sz w:val="22"/>
        </w:rPr>
        <w:t>des</w:t>
      </w:r>
      <w:r w:rsidR="007A0FD8">
        <w:rPr>
          <w:sz w:val="22"/>
        </w:rPr>
        <w:t xml:space="preserve"> contraintes de production d’énergie (fournir l’énergie que le marché demande) et </w:t>
      </w:r>
      <w:r>
        <w:rPr>
          <w:sz w:val="22"/>
        </w:rPr>
        <w:t xml:space="preserve">des </w:t>
      </w:r>
      <w:r w:rsidR="007A0FD8">
        <w:rPr>
          <w:sz w:val="22"/>
        </w:rPr>
        <w:t>contraintes</w:t>
      </w:r>
      <w:r>
        <w:rPr>
          <w:sz w:val="22"/>
        </w:rPr>
        <w:t xml:space="preserve"> liées à l’utilisation de l’outil de production telles que la maintenance, l’usure des machines</w:t>
      </w:r>
      <w:r w:rsidR="007A0FD8">
        <w:rPr>
          <w:sz w:val="22"/>
        </w:rPr>
        <w:t>.</w:t>
      </w:r>
    </w:p>
    <w:p w:rsidR="007A0FD8" w:rsidRDefault="007A0FD8" w:rsidP="00EA66B6">
      <w:pPr>
        <w:jc w:val="both"/>
        <w:rPr>
          <w:sz w:val="22"/>
        </w:rPr>
      </w:pPr>
      <w:r>
        <w:rPr>
          <w:sz w:val="22"/>
        </w:rPr>
        <w:t xml:space="preserve">Les règles de gestion paramétrées à Buyo permettent </w:t>
      </w:r>
      <w:r w:rsidR="00FC0CFF">
        <w:rPr>
          <w:sz w:val="22"/>
        </w:rPr>
        <w:t xml:space="preserve">cependant </w:t>
      </w:r>
      <w:r>
        <w:rPr>
          <w:sz w:val="22"/>
        </w:rPr>
        <w:t xml:space="preserve">de reproduire fidèlement le fonctionnement </w:t>
      </w:r>
      <w:r w:rsidR="00CE59AD">
        <w:rPr>
          <w:sz w:val="22"/>
        </w:rPr>
        <w:t xml:space="preserve">saisonnier </w:t>
      </w:r>
      <w:r>
        <w:rPr>
          <w:sz w:val="22"/>
        </w:rPr>
        <w:t>réel du réservoir de Buyo tel qu’il peut être observé à travers les données d’exploitation depuis 1981</w:t>
      </w:r>
      <w:r w:rsidR="00CE59AD">
        <w:rPr>
          <w:sz w:val="22"/>
        </w:rPr>
        <w:t xml:space="preserve"> </w:t>
      </w:r>
      <w:r w:rsidR="00CE59AD" w:rsidRPr="00217914">
        <w:rPr>
          <w:sz w:val="22"/>
        </w:rPr>
        <w:t>(</w:t>
      </w:r>
      <w:r w:rsidR="00BE3FD4" w:rsidRPr="00217914">
        <w:rPr>
          <w:sz w:val="22"/>
        </w:rPr>
        <w:t>Fig.</w:t>
      </w:r>
      <w:r w:rsidR="00CE59AD" w:rsidRPr="00217914">
        <w:rPr>
          <w:sz w:val="22"/>
        </w:rPr>
        <w:t> </w:t>
      </w:r>
      <w:r w:rsidR="000835A5" w:rsidRPr="00217914">
        <w:rPr>
          <w:sz w:val="22"/>
        </w:rPr>
        <w:t>8</w:t>
      </w:r>
      <w:r w:rsidR="00CE59AD" w:rsidRPr="00217914">
        <w:rPr>
          <w:sz w:val="22"/>
        </w:rPr>
        <w:t>)</w:t>
      </w:r>
      <w:r w:rsidRPr="00217914">
        <w:rPr>
          <w:sz w:val="22"/>
        </w:rPr>
        <w:t>.</w:t>
      </w:r>
    </w:p>
    <w:p w:rsidR="003F44A4" w:rsidRDefault="003F44A4" w:rsidP="00EA66B6">
      <w:pPr>
        <w:jc w:val="both"/>
        <w:rPr>
          <w:sz w:val="22"/>
        </w:rPr>
      </w:pPr>
    </w:p>
    <w:p w:rsidR="00CE59AD" w:rsidRDefault="00CE59AD" w:rsidP="00EA66B6">
      <w:pPr>
        <w:jc w:val="both"/>
        <w:rPr>
          <w:sz w:val="22"/>
        </w:rPr>
      </w:pPr>
      <w:r>
        <w:rPr>
          <w:sz w:val="22"/>
        </w:rPr>
        <w:t xml:space="preserve">Le modèle intégré de fonctionnement hydraulique permet de simuler le bassin versant du Sassandra sur la période 1954-2013 pour une infinité de configurations </w:t>
      </w:r>
      <w:r w:rsidR="00AB2893">
        <w:rPr>
          <w:sz w:val="22"/>
        </w:rPr>
        <w:t>d’aménagement</w:t>
      </w:r>
      <w:r>
        <w:rPr>
          <w:sz w:val="22"/>
        </w:rPr>
        <w:t>. La situation de référence est décrite par la simulation</w:t>
      </w:r>
      <w:r w:rsidR="00AB2893">
        <w:rPr>
          <w:sz w:val="22"/>
        </w:rPr>
        <w:t xml:space="preserve"> incluant uniquement</w:t>
      </w:r>
      <w:r>
        <w:rPr>
          <w:sz w:val="22"/>
        </w:rPr>
        <w:t xml:space="preserve"> l’ouvrage de </w:t>
      </w:r>
      <w:r w:rsidR="00AB2893">
        <w:rPr>
          <w:sz w:val="22"/>
        </w:rPr>
        <w:t>Buyo</w:t>
      </w:r>
      <w:r>
        <w:rPr>
          <w:sz w:val="22"/>
        </w:rPr>
        <w:t xml:space="preserve">. </w:t>
      </w:r>
    </w:p>
    <w:p w:rsidR="00AB2893" w:rsidRDefault="00AB2893" w:rsidP="00EA66B6">
      <w:pPr>
        <w:jc w:val="both"/>
        <w:rPr>
          <w:sz w:val="22"/>
        </w:rPr>
      </w:pPr>
    </w:p>
    <w:p w:rsidR="00AB2893" w:rsidRDefault="00AB2893" w:rsidP="00EA66B6">
      <w:pPr>
        <w:jc w:val="both"/>
        <w:rPr>
          <w:sz w:val="22"/>
        </w:rPr>
      </w:pPr>
      <w:r>
        <w:rPr>
          <w:sz w:val="22"/>
        </w:rPr>
        <w:t>Le modèle intégré du Sassandra constitue donc un outil utile à la planification de l’aménagement du bassin versant et à la conception des ouvrages en projet. Il permet en particulier d’analyser comment les ouvrages interagissent entre eux et de quantifier leurs impacts cumulatifs.</w:t>
      </w:r>
    </w:p>
    <w:p w:rsidR="00AB2893" w:rsidRDefault="00AB2893" w:rsidP="00EA66B6">
      <w:pPr>
        <w:jc w:val="both"/>
        <w:rPr>
          <w:sz w:val="22"/>
        </w:rPr>
      </w:pPr>
    </w:p>
    <w:p w:rsidR="00AB2893" w:rsidRDefault="00AB2893" w:rsidP="00EA66B6">
      <w:pPr>
        <w:jc w:val="both"/>
        <w:rPr>
          <w:sz w:val="22"/>
        </w:rPr>
      </w:pPr>
      <w:r>
        <w:rPr>
          <w:sz w:val="22"/>
        </w:rPr>
        <w:t>Par exemple, l’utilisation du modèle permet de programmer le planning du remplissage du réservoir de Tayaboui, à l’amont de Buyo, de façon à ne pas impacter négativement les apports hydrologiques donc le productible à Buyo. De la même façon, l’exploitation du modèle montre qu’en moyenne, le productible garanti à Buyo pourrait être augmenté jusqu’à 20% avec la mise en service de l’aménagement de Tayaboui. Cette augmentation résulte de la régularisation saisonnière des débits du Sassandra opérée par le réservoir de Tayaboui. L’augmentation de la distribution saisonnière des apports à Buyo qui en résulte permet une opération optimisée avec une hauteur moyenne de chute disponible plus élevée et la diminution des volumes déversés.</w:t>
      </w:r>
    </w:p>
    <w:p w:rsidR="00CE59AD" w:rsidRDefault="00CE59AD" w:rsidP="00EA66B6">
      <w:pPr>
        <w:jc w:val="both"/>
        <w:rPr>
          <w:sz w:val="22"/>
        </w:rPr>
      </w:pPr>
    </w:p>
    <w:p w:rsidR="00AB2893" w:rsidRDefault="00AB2893" w:rsidP="00EA66B6">
      <w:pPr>
        <w:jc w:val="both"/>
        <w:rPr>
          <w:sz w:val="22"/>
        </w:rPr>
      </w:pPr>
      <w:r>
        <w:rPr>
          <w:sz w:val="22"/>
        </w:rPr>
        <w:t>Le modèle permet également d’analyser sur une longue période les bénéfices liés à la régularisation des débits du Sassandra à l’aval de Buyo, en particulier sur le productible des ouvrages du cours inférieur : Soubré, Gribo-Popoli, Bouloubré et Louga.</w:t>
      </w:r>
    </w:p>
    <w:p w:rsidR="00DB59C6" w:rsidRDefault="00DB59C6" w:rsidP="00EA66B6">
      <w:pPr>
        <w:jc w:val="both"/>
        <w:rPr>
          <w:sz w:val="22"/>
        </w:rPr>
      </w:pPr>
    </w:p>
    <w:p w:rsidR="00AB2893" w:rsidRDefault="00AB2893" w:rsidP="00EA66B6">
      <w:pPr>
        <w:jc w:val="both"/>
        <w:rPr>
          <w:sz w:val="22"/>
        </w:rPr>
      </w:pPr>
      <w:r>
        <w:rPr>
          <w:sz w:val="22"/>
        </w:rPr>
        <w:t>Enfin, le modèle peut être utilisé à des fins de conception des aménagements. Chaque aménagement peut être configuré selon une infinité de variantes. Ces variantes portent par exemple sur la cote de retenue normale, le niveau minimum d’exploitation, le débit d’équipement de l’usine hydroélectrique, ou encore sur les règles de gestion (débit réservé). La comparaison des résultats de simulation des différentes variantes permet d’analyser de façon intégrée et systématique les bénéfices et impacts de tels ou tels choix de conception.</w:t>
      </w:r>
    </w:p>
    <w:p w:rsidR="00AB2893" w:rsidRDefault="00AB2893" w:rsidP="00EA66B6">
      <w:pPr>
        <w:jc w:val="both"/>
        <w:rPr>
          <w:sz w:val="22"/>
        </w:rPr>
      </w:pPr>
    </w:p>
    <w:p w:rsidR="00D4476C" w:rsidRPr="00D4476C" w:rsidRDefault="00D4476C" w:rsidP="00EA66B6">
      <w:pPr>
        <w:jc w:val="both"/>
        <w:rPr>
          <w:b/>
          <w:sz w:val="22"/>
        </w:rPr>
      </w:pPr>
      <w:r w:rsidRPr="00D4476C">
        <w:rPr>
          <w:b/>
          <w:sz w:val="22"/>
        </w:rPr>
        <w:t>Conclusion</w:t>
      </w:r>
    </w:p>
    <w:p w:rsidR="00D4476C" w:rsidRDefault="00D4476C" w:rsidP="00EA66B6">
      <w:pPr>
        <w:jc w:val="both"/>
        <w:rPr>
          <w:sz w:val="22"/>
        </w:rPr>
      </w:pPr>
    </w:p>
    <w:p w:rsidR="00D4476C" w:rsidRDefault="00D4476C" w:rsidP="00EA66B6">
      <w:pPr>
        <w:jc w:val="both"/>
        <w:rPr>
          <w:sz w:val="22"/>
        </w:rPr>
      </w:pPr>
      <w:r>
        <w:rPr>
          <w:sz w:val="22"/>
        </w:rPr>
        <w:lastRenderedPageBreak/>
        <w:t>Cette étude a montré comment les outils de la gestion intégrée des ressources en eau étaient au service de la planification et de la conception des aménagements dans le bassin du fleuve Sassandra. La pertinence du modèle intégré du fonctionnement hydraulique du bassin repose sur l’élaboration de longues séries d’apports hydrologiques homogènes. Pour pallier l’absence de données, des moyens qui peuvent paraître audacieux ont été utilisés (grille de précipitations mensuelles du CRU, modélisation hydrologique de sous-bassins versants peu jaugés, méthode de transposition des lames d’eau écoulées). Adaptés au contexte opérationnel, ces moyens nécessitent la plus grande vigilance vis-vis du contrôle des résultats.</w:t>
      </w:r>
    </w:p>
    <w:p w:rsidR="00D4476C" w:rsidRDefault="00D4476C" w:rsidP="00EA66B6">
      <w:pPr>
        <w:jc w:val="both"/>
        <w:rPr>
          <w:sz w:val="22"/>
        </w:rPr>
      </w:pPr>
    </w:p>
    <w:p w:rsidR="00D4476C" w:rsidRDefault="00BE3FD4" w:rsidP="00EA66B6">
      <w:pPr>
        <w:jc w:val="both"/>
        <w:rPr>
          <w:sz w:val="22"/>
        </w:rPr>
      </w:pPr>
      <w:r>
        <w:rPr>
          <w:sz w:val="22"/>
        </w:rPr>
        <w:t xml:space="preserve">Cette concession sur la rigueur absolue est justifiée par les avantages qui sont tirés du modèle de gestion intégrée en termes de planification et de conception. L’utilisation du modèle permet une analyse </w:t>
      </w:r>
      <w:r w:rsidR="00DE22CB">
        <w:rPr>
          <w:sz w:val="22"/>
        </w:rPr>
        <w:t>multicritères</w:t>
      </w:r>
      <w:r>
        <w:rPr>
          <w:sz w:val="22"/>
        </w:rPr>
        <w:t xml:space="preserve"> (énergétiques, socio-économiques et environnementaux) d’un nombre illimité de variantes d’aménagements dans </w:t>
      </w:r>
      <w:r w:rsidR="00217914">
        <w:rPr>
          <w:sz w:val="22"/>
        </w:rPr>
        <w:t>u</w:t>
      </w:r>
      <w:r>
        <w:rPr>
          <w:sz w:val="22"/>
        </w:rPr>
        <w:t xml:space="preserve">n environnement de travail </w:t>
      </w:r>
      <w:r w:rsidR="00FC0CFF">
        <w:rPr>
          <w:sz w:val="22"/>
        </w:rPr>
        <w:t>évolutif et pouvant servir de support didactique et de communication auprès des décideurs</w:t>
      </w:r>
      <w:r>
        <w:rPr>
          <w:sz w:val="22"/>
        </w:rPr>
        <w:t>.</w:t>
      </w:r>
    </w:p>
    <w:p w:rsidR="00D8443C" w:rsidRDefault="00D8443C">
      <w:pPr>
        <w:rPr>
          <w:sz w:val="22"/>
        </w:rPr>
      </w:pPr>
    </w:p>
    <w:p w:rsidR="00B30346" w:rsidRDefault="00D8443C" w:rsidP="00BE3FD4">
      <w:pPr>
        <w:pStyle w:val="Titre1"/>
        <w:numPr>
          <w:ilvl w:val="0"/>
          <w:numId w:val="0"/>
        </w:numPr>
        <w:ind w:left="522" w:hanging="432"/>
      </w:pPr>
      <w:r>
        <w:t>R</w:t>
      </w:r>
      <w:r w:rsidR="00BE3FD4">
        <w:t>emerciements</w:t>
      </w:r>
    </w:p>
    <w:p w:rsidR="00D8443C" w:rsidRDefault="00D8443C" w:rsidP="00EA66B6">
      <w:pPr>
        <w:jc w:val="both"/>
        <w:rPr>
          <w:sz w:val="22"/>
        </w:rPr>
      </w:pPr>
    </w:p>
    <w:p w:rsidR="00AB2893" w:rsidRDefault="00AB2893" w:rsidP="00EA66B6">
      <w:pPr>
        <w:jc w:val="both"/>
        <w:rPr>
          <w:sz w:val="22"/>
        </w:rPr>
      </w:pPr>
      <w:r>
        <w:rPr>
          <w:sz w:val="22"/>
        </w:rPr>
        <w:t xml:space="preserve">Les auteurs remercient la Compagnie Ivoirienne d’Electricité (CIE) et la Sous-Direction </w:t>
      </w:r>
      <w:r w:rsidRPr="00935428">
        <w:rPr>
          <w:sz w:val="22"/>
          <w:szCs w:val="22"/>
        </w:rPr>
        <w:t>de l’Hydrologie</w:t>
      </w:r>
      <w:r>
        <w:rPr>
          <w:sz w:val="22"/>
          <w:szCs w:val="22"/>
        </w:rPr>
        <w:t xml:space="preserve"> pour la mise à disposition des données hydrométriques et des données d’exploitation de l’aménagement hydroélectrique de Buyo.</w:t>
      </w:r>
    </w:p>
    <w:p w:rsidR="00D8443C" w:rsidRDefault="00D8443C" w:rsidP="00D8443C">
      <w:pPr>
        <w:pStyle w:val="Titre1"/>
      </w:pPr>
      <w:r>
        <w:t>Références</w:t>
      </w:r>
    </w:p>
    <w:p w:rsidR="00BE3FD4" w:rsidRPr="00BE3FD4" w:rsidRDefault="00BE3FD4" w:rsidP="00EA66B6">
      <w:pPr>
        <w:jc w:val="both"/>
      </w:pPr>
    </w:p>
    <w:p w:rsidR="00BE3FD4" w:rsidRPr="00BE3FD4" w:rsidRDefault="00BE3FD4" w:rsidP="00BE3FD4">
      <w:pPr>
        <w:jc w:val="both"/>
      </w:pPr>
      <w:r w:rsidRPr="00BE3FD4">
        <w:t xml:space="preserve">Aka, A. et al., 1996. Analyse statistique de l'évolution des écoulements en Côte d'Ivoire. </w:t>
      </w:r>
      <w:r w:rsidRPr="00BE3FD4">
        <w:rPr>
          <w:i/>
        </w:rPr>
        <w:t>L'hydrologie tropicale: géoscience et outil pour le développement</w:t>
      </w:r>
      <w:r w:rsidRPr="00BE3FD4">
        <w:t xml:space="preserve"> (Actes de la conférence de Paris, mai 1</w:t>
      </w:r>
      <w:r>
        <w:t>995). IAHS Publ. no. 238,</w:t>
      </w:r>
      <w:r w:rsidRPr="00BE3FD4">
        <w:t xml:space="preserve"> 238.</w:t>
      </w:r>
    </w:p>
    <w:p w:rsidR="00BE3FD4" w:rsidRPr="00BE3FD4" w:rsidRDefault="00BE3FD4" w:rsidP="00BE3FD4">
      <w:pPr>
        <w:jc w:val="both"/>
      </w:pPr>
      <w:r>
        <w:t>Ardoin-Bardin</w:t>
      </w:r>
      <w:r w:rsidRPr="00BE3FD4">
        <w:t xml:space="preserve"> S.,</w:t>
      </w:r>
      <w:r>
        <w:t xml:space="preserve"> </w:t>
      </w:r>
      <w:r w:rsidRPr="00BE3FD4">
        <w:t>2004. Variabilité hydroclimatique et impacts sur les ressources en eau de grands bassins hydrographiques en</w:t>
      </w:r>
      <w:r>
        <w:t xml:space="preserve"> zone soudano-sahélienne. Thèse, USTL-UM II, Montpellier, France</w:t>
      </w:r>
      <w:r w:rsidRPr="00BE3FD4">
        <w:t>.</w:t>
      </w:r>
    </w:p>
    <w:p w:rsidR="00BE3FD4" w:rsidRPr="00BE3FD4" w:rsidRDefault="00BE3FD4" w:rsidP="00BE3FD4">
      <w:pPr>
        <w:jc w:val="both"/>
        <w:rPr>
          <w:lang w:val="en-US"/>
        </w:rPr>
      </w:pPr>
      <w:r w:rsidRPr="00BE3FD4">
        <w:t>Ardoin-Bardin S.,</w:t>
      </w:r>
      <w:r>
        <w:t xml:space="preserve"> Dezetter A., Servat E., Paturel J.E., Mahé G., Niel H., Dieulin C</w:t>
      </w:r>
      <w:r w:rsidRPr="00BE3FD4">
        <w:t xml:space="preserve">, 2009. </w:t>
      </w:r>
      <w:r w:rsidRPr="00BE3FD4">
        <w:rPr>
          <w:lang w:val="en-US"/>
        </w:rPr>
        <w:t>Using general circulation model outputs to assess impacts of climate change on runoff for large hydrologic</w:t>
      </w:r>
      <w:r>
        <w:rPr>
          <w:lang w:val="en-US"/>
        </w:rPr>
        <w:t>a</w:t>
      </w:r>
      <w:r w:rsidRPr="00BE3FD4">
        <w:rPr>
          <w:lang w:val="en-US"/>
        </w:rPr>
        <w:t xml:space="preserve">l catchments in West Africa. </w:t>
      </w:r>
      <w:r w:rsidRPr="00BE3FD4">
        <w:rPr>
          <w:i/>
          <w:lang w:val="en-US"/>
        </w:rPr>
        <w:t>Hydrological Sciences Journal</w:t>
      </w:r>
      <w:r>
        <w:rPr>
          <w:lang w:val="en-US"/>
        </w:rPr>
        <w:t>, 54,</w:t>
      </w:r>
      <w:r w:rsidRPr="00BE3FD4">
        <w:rPr>
          <w:lang w:val="en-US"/>
        </w:rPr>
        <w:t xml:space="preserve"> 77-89.</w:t>
      </w:r>
    </w:p>
    <w:p w:rsidR="00BE3FD4" w:rsidRPr="00BE3FD4" w:rsidRDefault="00BE3FD4" w:rsidP="00BE3FD4">
      <w:pPr>
        <w:jc w:val="both"/>
        <w:rPr>
          <w:lang w:val="en-US"/>
        </w:rPr>
      </w:pPr>
      <w:r w:rsidRPr="00BE3FD4">
        <w:rPr>
          <w:lang w:val="en-US"/>
        </w:rPr>
        <w:t xml:space="preserve">Klemes, V., 1986. Operational testing of hydrologic simulation models. </w:t>
      </w:r>
      <w:r w:rsidRPr="00BE3FD4">
        <w:rPr>
          <w:i/>
          <w:lang w:val="en-US"/>
        </w:rPr>
        <w:t>Hydrological Sciences Journal</w:t>
      </w:r>
      <w:r>
        <w:rPr>
          <w:lang w:val="en-US"/>
        </w:rPr>
        <w:t xml:space="preserve">, </w:t>
      </w:r>
      <w:r w:rsidRPr="00BE3FD4">
        <w:rPr>
          <w:lang w:val="en-US"/>
        </w:rPr>
        <w:t>31, 13-24.</w:t>
      </w:r>
    </w:p>
    <w:p w:rsidR="00BE3FD4" w:rsidRPr="00BE3FD4" w:rsidRDefault="00BE3FD4" w:rsidP="00BE3FD4">
      <w:pPr>
        <w:jc w:val="both"/>
        <w:rPr>
          <w:lang w:val="en-US"/>
        </w:rPr>
      </w:pPr>
      <w:r w:rsidRPr="00BE3FD4">
        <w:rPr>
          <w:lang w:val="en-US"/>
        </w:rPr>
        <w:t>Mouelhi</w:t>
      </w:r>
      <w:r>
        <w:rPr>
          <w:lang w:val="en-US"/>
        </w:rPr>
        <w:t>, S.</w:t>
      </w:r>
      <w:r w:rsidRPr="00BE3FD4">
        <w:rPr>
          <w:lang w:val="en-US"/>
        </w:rPr>
        <w:t xml:space="preserve">, 2006. Stepwise development of a two-parameter monthly water balance model. </w:t>
      </w:r>
      <w:r w:rsidRPr="00BE3FD4">
        <w:rPr>
          <w:i/>
          <w:lang w:val="en-US"/>
        </w:rPr>
        <w:t>Journal of Hydrology</w:t>
      </w:r>
      <w:r>
        <w:rPr>
          <w:lang w:val="en-US"/>
        </w:rPr>
        <w:t>, 318,</w:t>
      </w:r>
      <w:r w:rsidRPr="00BE3FD4">
        <w:rPr>
          <w:lang w:val="en-US"/>
        </w:rPr>
        <w:t xml:space="preserve"> 200-214.</w:t>
      </w:r>
    </w:p>
    <w:p w:rsidR="00BE3FD4" w:rsidRPr="00BE3FD4" w:rsidRDefault="00BE3FD4" w:rsidP="00BE3FD4">
      <w:pPr>
        <w:jc w:val="both"/>
        <w:rPr>
          <w:lang w:val="en-US"/>
        </w:rPr>
      </w:pPr>
      <w:r w:rsidRPr="00BE3FD4">
        <w:rPr>
          <w:lang w:val="en-US"/>
        </w:rPr>
        <w:t xml:space="preserve">Nash &amp; Sutcliffe, 1970. River flow forecasting trough conceptual models. Part 1 - A discussion of principles. </w:t>
      </w:r>
      <w:r w:rsidRPr="00BE3FD4">
        <w:rPr>
          <w:i/>
          <w:lang w:val="en-US"/>
        </w:rPr>
        <w:t>Journal of Hydrology</w:t>
      </w:r>
      <w:r>
        <w:rPr>
          <w:lang w:val="en-US"/>
        </w:rPr>
        <w:t>, 27 (3),</w:t>
      </w:r>
      <w:r w:rsidRPr="00BE3FD4">
        <w:rPr>
          <w:lang w:val="en-US"/>
        </w:rPr>
        <w:t xml:space="preserve"> 282-290.</w:t>
      </w:r>
    </w:p>
    <w:p w:rsidR="00BE3FD4" w:rsidRPr="00BE3FD4" w:rsidRDefault="00BE3FD4" w:rsidP="00BE3FD4">
      <w:pPr>
        <w:jc w:val="both"/>
        <w:rPr>
          <w:lang w:val="en-US"/>
        </w:rPr>
      </w:pPr>
      <w:r w:rsidRPr="00BE3FD4">
        <w:rPr>
          <w:lang w:val="en-US"/>
        </w:rPr>
        <w:t xml:space="preserve">New, M., Hulme, G. &amp; Jones, P., 2000. Representing 20th century space-time climate variability. II: Development of 1901-1996 monthly terrestrial climate fields. </w:t>
      </w:r>
      <w:r w:rsidRPr="00BE3FD4">
        <w:rPr>
          <w:i/>
          <w:lang w:val="en-US"/>
        </w:rPr>
        <w:t>Journal of Climate</w:t>
      </w:r>
      <w:r w:rsidRPr="00BE3FD4">
        <w:rPr>
          <w:lang w:val="en-US"/>
        </w:rPr>
        <w:t>, 13, 2217-2238.</w:t>
      </w:r>
    </w:p>
    <w:p w:rsidR="00BE3FD4" w:rsidRPr="00BE3FD4" w:rsidRDefault="00BE3FD4" w:rsidP="00BE3FD4">
      <w:pPr>
        <w:jc w:val="both"/>
      </w:pPr>
      <w:r w:rsidRPr="00BE3FD4">
        <w:t>Perrin, C., 2007. Les modèles hy</w:t>
      </w:r>
      <w:r>
        <w:t>drologiques du Génie Rural (GR). Rapport technique</w:t>
      </w:r>
    </w:p>
    <w:p w:rsidR="00BE3FD4" w:rsidRPr="00BE3FD4" w:rsidRDefault="00BE3FD4" w:rsidP="00BE3FD4">
      <w:pPr>
        <w:jc w:val="both"/>
      </w:pPr>
      <w:r w:rsidRPr="00BE3FD4">
        <w:t xml:space="preserve">Servat, E. &amp; Sakho, M., 1993. Incidences de l'instabilité des ressources en eau sur la gestion d'un système d'eau aménagé. Cas du Sassandra en Côte d'Ivoire. </w:t>
      </w:r>
      <w:r w:rsidRPr="00BE3FD4">
        <w:rPr>
          <w:i/>
        </w:rPr>
        <w:t>Hydrology of Warm Humid Regions</w:t>
      </w:r>
      <w:r>
        <w:t xml:space="preserve">, </w:t>
      </w:r>
      <w:r w:rsidRPr="00BE3FD4">
        <w:t>216.</w:t>
      </w:r>
    </w:p>
    <w:p w:rsidR="00BE3FD4" w:rsidRPr="00BE3FD4" w:rsidRDefault="00BE3FD4" w:rsidP="00BE3FD4">
      <w:pPr>
        <w:jc w:val="both"/>
        <w:rPr>
          <w:lang w:val="en-US"/>
        </w:rPr>
      </w:pPr>
      <w:r w:rsidRPr="00BE3FD4">
        <w:rPr>
          <w:lang w:val="en-US"/>
        </w:rPr>
        <w:t>Smith, M., 1992. Expert consultation on revision of FAO methodologies for crop water requirements</w:t>
      </w:r>
      <w:r>
        <w:rPr>
          <w:lang w:val="en-US"/>
        </w:rPr>
        <w:t xml:space="preserve">. Report, </w:t>
      </w:r>
      <w:r w:rsidRPr="00BE3FD4">
        <w:rPr>
          <w:lang w:val="en-US"/>
        </w:rPr>
        <w:t>Land and Water Development Division, UN FAO, Rome, Italy.</w:t>
      </w:r>
    </w:p>
    <w:p w:rsidR="00BE3FD4" w:rsidRPr="00BE3FD4" w:rsidRDefault="00BE3FD4" w:rsidP="00BE3FD4">
      <w:pPr>
        <w:jc w:val="both"/>
      </w:pPr>
      <w:r w:rsidRPr="00BE3FD4">
        <w:t xml:space="preserve">Yao, A. et al., 2012. Analyse de la variabilité climatique et quantification des ressources en eau en zone tropicale humide : cas du bassin versant de la Lobo au centre-ouest de la Côte d'Ivoire. </w:t>
      </w:r>
      <w:r w:rsidRPr="00BE3FD4">
        <w:rPr>
          <w:i/>
        </w:rPr>
        <w:t>Rev. Ivoir. Sci. Technol</w:t>
      </w:r>
      <w:r w:rsidRPr="00BE3FD4">
        <w:t>, 19,  136-157.</w:t>
      </w:r>
    </w:p>
    <w:p w:rsidR="00BE3FD4" w:rsidRDefault="00BE3FD4" w:rsidP="00EA66B6">
      <w:pPr>
        <w:jc w:val="both"/>
        <w:rPr>
          <w:sz w:val="22"/>
        </w:rPr>
      </w:pPr>
    </w:p>
    <w:p w:rsidR="00BE3FD4" w:rsidRDefault="00BE3FD4" w:rsidP="00BE3FD4">
      <w:pPr>
        <w:jc w:val="both"/>
        <w:rPr>
          <w:sz w:val="22"/>
        </w:rPr>
      </w:pPr>
    </w:p>
    <w:p w:rsidR="00D8443C" w:rsidRDefault="00D8443C">
      <w:pPr>
        <w:rPr>
          <w:sz w:val="22"/>
        </w:rPr>
      </w:pPr>
      <w:r>
        <w:rPr>
          <w:sz w:val="22"/>
        </w:rPr>
        <w:br w:type="page"/>
      </w:r>
    </w:p>
    <w:p w:rsidR="00D8443C" w:rsidRPr="00D8443C" w:rsidRDefault="00D8443C" w:rsidP="00D8443C">
      <w:pPr>
        <w:pStyle w:val="Lgende"/>
        <w:keepNext/>
        <w:jc w:val="center"/>
        <w:rPr>
          <w:lang w:val="fr-FR"/>
        </w:rPr>
      </w:pPr>
      <w:bookmarkStart w:id="0" w:name="_Ref431458111"/>
      <w:r w:rsidRPr="00D8443C">
        <w:rPr>
          <w:lang w:val="fr-FR"/>
        </w:rPr>
        <w:lastRenderedPageBreak/>
        <w:t xml:space="preserve">Tableau </w:t>
      </w:r>
      <w:r>
        <w:fldChar w:fldCharType="begin"/>
      </w:r>
      <w:r w:rsidRPr="00D8443C">
        <w:rPr>
          <w:lang w:val="fr-FR"/>
        </w:rPr>
        <w:instrText xml:space="preserve"> SEQ Tableau \* ARABIC </w:instrText>
      </w:r>
      <w:r>
        <w:fldChar w:fldCharType="separate"/>
      </w:r>
      <w:r w:rsidR="00B35F4A">
        <w:rPr>
          <w:noProof/>
          <w:lang w:val="fr-FR"/>
        </w:rPr>
        <w:t>1</w:t>
      </w:r>
      <w:r>
        <w:fldChar w:fldCharType="end"/>
      </w:r>
      <w:bookmarkEnd w:id="0"/>
      <w:r w:rsidRPr="00D8443C">
        <w:rPr>
          <w:lang w:val="fr-FR"/>
        </w:rPr>
        <w:t xml:space="preserve"> : Bilan en eau du </w:t>
      </w:r>
      <w:r>
        <w:rPr>
          <w:lang w:val="fr-FR"/>
        </w:rPr>
        <w:t>ré</w:t>
      </w:r>
      <w:r w:rsidRPr="00D8443C">
        <w:rPr>
          <w:lang w:val="fr-FR"/>
        </w:rPr>
        <w:t xml:space="preserve">servoir de Buyo </w:t>
      </w:r>
      <w:r>
        <w:rPr>
          <w:lang w:val="fr-FR"/>
        </w:rPr>
        <w:t>calculé sur la période 1981-2014</w:t>
      </w:r>
    </w:p>
    <w:tbl>
      <w:tblPr>
        <w:tblStyle w:val="Grilledutableau"/>
        <w:tblW w:w="5000" w:type="pct"/>
        <w:tblLayout w:type="fixed"/>
        <w:tblLook w:val="04A0" w:firstRow="1" w:lastRow="0" w:firstColumn="1" w:lastColumn="0" w:noHBand="0" w:noVBand="1"/>
      </w:tblPr>
      <w:tblGrid>
        <w:gridCol w:w="2268"/>
        <w:gridCol w:w="1242"/>
        <w:gridCol w:w="1241"/>
        <w:gridCol w:w="1241"/>
        <w:gridCol w:w="1241"/>
        <w:gridCol w:w="1241"/>
        <w:gridCol w:w="1240"/>
      </w:tblGrid>
      <w:tr w:rsidR="00D8443C" w:rsidRPr="00DA09B6" w:rsidTr="003F44A4">
        <w:tc>
          <w:tcPr>
            <w:tcW w:w="1167" w:type="pct"/>
            <w:vAlign w:val="center"/>
          </w:tcPr>
          <w:p w:rsidR="00D8443C" w:rsidRPr="00DA09B6" w:rsidRDefault="00D8443C" w:rsidP="003F44A4">
            <w:pPr>
              <w:jc w:val="center"/>
              <w:rPr>
                <w:sz w:val="22"/>
              </w:rPr>
            </w:pPr>
            <w:r w:rsidRPr="00DA09B6">
              <w:rPr>
                <w:sz w:val="22"/>
              </w:rPr>
              <w:t>Bilan en eau réservoir de Buyo</w:t>
            </w:r>
          </w:p>
        </w:tc>
        <w:tc>
          <w:tcPr>
            <w:tcW w:w="639" w:type="pct"/>
            <w:vAlign w:val="center"/>
          </w:tcPr>
          <w:p w:rsidR="00D8443C" w:rsidRPr="00DA09B6" w:rsidRDefault="00D8443C" w:rsidP="003F44A4">
            <w:pPr>
              <w:jc w:val="center"/>
              <w:rPr>
                <w:sz w:val="22"/>
              </w:rPr>
            </w:pPr>
            <w:r w:rsidRPr="00DA09B6">
              <w:rPr>
                <w:sz w:val="22"/>
              </w:rPr>
              <w:t>Volume turbiné</w:t>
            </w:r>
          </w:p>
        </w:tc>
        <w:tc>
          <w:tcPr>
            <w:tcW w:w="639" w:type="pct"/>
            <w:vAlign w:val="center"/>
          </w:tcPr>
          <w:p w:rsidR="00D8443C" w:rsidRPr="00DA09B6" w:rsidRDefault="00D8443C" w:rsidP="003F44A4">
            <w:pPr>
              <w:jc w:val="center"/>
              <w:rPr>
                <w:sz w:val="22"/>
              </w:rPr>
            </w:pPr>
            <w:r w:rsidRPr="00DA09B6">
              <w:rPr>
                <w:sz w:val="22"/>
              </w:rPr>
              <w:t>Volume vidangé et déversé</w:t>
            </w:r>
          </w:p>
        </w:tc>
        <w:tc>
          <w:tcPr>
            <w:tcW w:w="639" w:type="pct"/>
            <w:vAlign w:val="center"/>
          </w:tcPr>
          <w:p w:rsidR="00D8443C" w:rsidRPr="00DA09B6" w:rsidRDefault="00D8443C" w:rsidP="003F44A4">
            <w:pPr>
              <w:jc w:val="center"/>
              <w:rPr>
                <w:sz w:val="22"/>
              </w:rPr>
            </w:pPr>
            <w:r w:rsidRPr="00DA09B6">
              <w:rPr>
                <w:sz w:val="22"/>
              </w:rPr>
              <w:t>Volume évaporé</w:t>
            </w:r>
          </w:p>
        </w:tc>
        <w:tc>
          <w:tcPr>
            <w:tcW w:w="639" w:type="pct"/>
            <w:vAlign w:val="center"/>
          </w:tcPr>
          <w:p w:rsidR="00D8443C" w:rsidRPr="00DA09B6" w:rsidRDefault="00D8443C" w:rsidP="003F44A4">
            <w:pPr>
              <w:jc w:val="center"/>
              <w:rPr>
                <w:sz w:val="22"/>
              </w:rPr>
            </w:pPr>
            <w:r w:rsidRPr="00DA09B6">
              <w:rPr>
                <w:sz w:val="22"/>
              </w:rPr>
              <w:t>Apports bruts</w:t>
            </w:r>
          </w:p>
        </w:tc>
        <w:tc>
          <w:tcPr>
            <w:tcW w:w="639" w:type="pct"/>
            <w:vAlign w:val="center"/>
          </w:tcPr>
          <w:p w:rsidR="00D8443C" w:rsidRPr="00DA09B6" w:rsidRDefault="00D8443C" w:rsidP="003F44A4">
            <w:pPr>
              <w:jc w:val="center"/>
              <w:rPr>
                <w:sz w:val="22"/>
              </w:rPr>
            </w:pPr>
            <w:r w:rsidRPr="00DA09B6">
              <w:rPr>
                <w:sz w:val="22"/>
              </w:rPr>
              <w:t>Pluie directe</w:t>
            </w:r>
          </w:p>
        </w:tc>
        <w:tc>
          <w:tcPr>
            <w:tcW w:w="638" w:type="pct"/>
            <w:vAlign w:val="center"/>
          </w:tcPr>
          <w:p w:rsidR="00D8443C" w:rsidRPr="00DA09B6" w:rsidRDefault="00D8443C" w:rsidP="003F44A4">
            <w:pPr>
              <w:jc w:val="center"/>
              <w:rPr>
                <w:sz w:val="22"/>
              </w:rPr>
            </w:pPr>
            <w:r w:rsidRPr="00DA09B6">
              <w:rPr>
                <w:sz w:val="22"/>
              </w:rPr>
              <w:t>Apports nets</w:t>
            </w:r>
          </w:p>
        </w:tc>
      </w:tr>
      <w:tr w:rsidR="00D8443C" w:rsidRPr="00DA09B6" w:rsidTr="003F44A4">
        <w:tc>
          <w:tcPr>
            <w:tcW w:w="1167" w:type="pct"/>
            <w:vAlign w:val="center"/>
          </w:tcPr>
          <w:p w:rsidR="00D8443C" w:rsidRPr="00DA09B6" w:rsidRDefault="00D8443C" w:rsidP="003F44A4">
            <w:pPr>
              <w:jc w:val="center"/>
              <w:rPr>
                <w:sz w:val="22"/>
              </w:rPr>
            </w:pPr>
            <w:r w:rsidRPr="00DA09B6">
              <w:rPr>
                <w:sz w:val="22"/>
              </w:rPr>
              <w:t xml:space="preserve">Moyenne </w:t>
            </w:r>
            <w:r w:rsidRPr="00DA09B6">
              <w:rPr>
                <w:sz w:val="22"/>
              </w:rPr>
              <w:t>annuel</w:t>
            </w:r>
            <w:r w:rsidR="000C5F58">
              <w:rPr>
                <w:sz w:val="22"/>
              </w:rPr>
              <w:t>le</w:t>
            </w:r>
            <w:r w:rsidRPr="00DA09B6">
              <w:rPr>
                <w:sz w:val="22"/>
              </w:rPr>
              <w:t xml:space="preserve"> s</w:t>
            </w:r>
            <w:r w:rsidRPr="00DA09B6">
              <w:rPr>
                <w:sz w:val="22"/>
              </w:rPr>
              <w:t>ur la période 1981-2014, (millions de m</w:t>
            </w:r>
            <w:r w:rsidRPr="00DA09B6">
              <w:rPr>
                <w:sz w:val="22"/>
                <w:vertAlign w:val="superscript"/>
              </w:rPr>
              <w:t>3</w:t>
            </w:r>
            <w:r w:rsidRPr="00DA09B6">
              <w:rPr>
                <w:sz w:val="22"/>
              </w:rPr>
              <w:t>)</w:t>
            </w:r>
          </w:p>
        </w:tc>
        <w:tc>
          <w:tcPr>
            <w:tcW w:w="639" w:type="pct"/>
            <w:vAlign w:val="center"/>
          </w:tcPr>
          <w:p w:rsidR="00D8443C" w:rsidRPr="00DA09B6" w:rsidRDefault="00D8443C" w:rsidP="003F44A4">
            <w:pPr>
              <w:jc w:val="center"/>
              <w:rPr>
                <w:sz w:val="22"/>
              </w:rPr>
            </w:pPr>
            <w:r w:rsidRPr="00DA09B6">
              <w:rPr>
                <w:sz w:val="22"/>
              </w:rPr>
              <w:t>9 545</w:t>
            </w:r>
          </w:p>
        </w:tc>
        <w:tc>
          <w:tcPr>
            <w:tcW w:w="639" w:type="pct"/>
            <w:vAlign w:val="center"/>
          </w:tcPr>
          <w:p w:rsidR="00D8443C" w:rsidRPr="00DA09B6" w:rsidRDefault="00D8443C" w:rsidP="003F44A4">
            <w:pPr>
              <w:jc w:val="center"/>
              <w:rPr>
                <w:sz w:val="22"/>
              </w:rPr>
            </w:pPr>
            <w:r w:rsidRPr="00DA09B6">
              <w:rPr>
                <w:sz w:val="22"/>
              </w:rPr>
              <w:t>1 106</w:t>
            </w:r>
          </w:p>
        </w:tc>
        <w:tc>
          <w:tcPr>
            <w:tcW w:w="639" w:type="pct"/>
            <w:vAlign w:val="center"/>
          </w:tcPr>
          <w:p w:rsidR="00D8443C" w:rsidRPr="00DA09B6" w:rsidRDefault="00D8443C" w:rsidP="003F44A4">
            <w:pPr>
              <w:jc w:val="center"/>
              <w:rPr>
                <w:sz w:val="22"/>
              </w:rPr>
            </w:pPr>
            <w:r w:rsidRPr="00DA09B6">
              <w:rPr>
                <w:sz w:val="22"/>
              </w:rPr>
              <w:t>931</w:t>
            </w:r>
          </w:p>
        </w:tc>
        <w:tc>
          <w:tcPr>
            <w:tcW w:w="639" w:type="pct"/>
            <w:vAlign w:val="center"/>
          </w:tcPr>
          <w:p w:rsidR="00D8443C" w:rsidRPr="00DA09B6" w:rsidRDefault="00D8443C" w:rsidP="003F44A4">
            <w:pPr>
              <w:jc w:val="center"/>
              <w:rPr>
                <w:sz w:val="22"/>
              </w:rPr>
            </w:pPr>
            <w:r w:rsidRPr="00DA09B6">
              <w:rPr>
                <w:sz w:val="22"/>
              </w:rPr>
              <w:t>11 621</w:t>
            </w:r>
          </w:p>
        </w:tc>
        <w:tc>
          <w:tcPr>
            <w:tcW w:w="639" w:type="pct"/>
            <w:vAlign w:val="center"/>
          </w:tcPr>
          <w:p w:rsidR="00D8443C" w:rsidRPr="00DA09B6" w:rsidRDefault="00D8443C" w:rsidP="003F44A4">
            <w:pPr>
              <w:jc w:val="center"/>
              <w:rPr>
                <w:sz w:val="22"/>
              </w:rPr>
            </w:pPr>
            <w:r w:rsidRPr="00DA09B6">
              <w:rPr>
                <w:sz w:val="22"/>
              </w:rPr>
              <w:t>955</w:t>
            </w:r>
          </w:p>
        </w:tc>
        <w:tc>
          <w:tcPr>
            <w:tcW w:w="638" w:type="pct"/>
            <w:vAlign w:val="center"/>
          </w:tcPr>
          <w:p w:rsidR="00D8443C" w:rsidRPr="00DA09B6" w:rsidRDefault="00D8443C" w:rsidP="003F44A4">
            <w:pPr>
              <w:jc w:val="center"/>
              <w:rPr>
                <w:sz w:val="22"/>
              </w:rPr>
            </w:pPr>
            <w:r w:rsidRPr="00DA09B6">
              <w:rPr>
                <w:sz w:val="22"/>
              </w:rPr>
              <w:t>10 631</w:t>
            </w:r>
          </w:p>
        </w:tc>
      </w:tr>
    </w:tbl>
    <w:p w:rsidR="00D8443C" w:rsidRDefault="00D8443C" w:rsidP="00EA66B6">
      <w:pPr>
        <w:jc w:val="both"/>
        <w:rPr>
          <w:sz w:val="22"/>
        </w:rPr>
      </w:pPr>
    </w:p>
    <w:p w:rsidR="00D8443C" w:rsidRDefault="00D8443C" w:rsidP="00D8443C">
      <w:r>
        <w:br w:type="page"/>
      </w:r>
    </w:p>
    <w:p w:rsidR="00D8443C" w:rsidRDefault="00D8443C" w:rsidP="00EA66B6">
      <w:pPr>
        <w:jc w:val="both"/>
        <w:rPr>
          <w:sz w:val="22"/>
        </w:rPr>
      </w:pPr>
    </w:p>
    <w:p w:rsidR="00D8443C" w:rsidRPr="00D8443C" w:rsidRDefault="00D8443C" w:rsidP="00D8443C">
      <w:pPr>
        <w:pStyle w:val="Lgende"/>
        <w:keepNext/>
        <w:jc w:val="center"/>
        <w:rPr>
          <w:lang w:val="fr-FR"/>
        </w:rPr>
      </w:pPr>
      <w:bookmarkStart w:id="1" w:name="_Ref431312779"/>
      <w:r w:rsidRPr="00D8443C">
        <w:rPr>
          <w:lang w:val="fr-FR"/>
        </w:rPr>
        <w:t xml:space="preserve">Tableau </w:t>
      </w:r>
      <w:r>
        <w:fldChar w:fldCharType="begin"/>
      </w:r>
      <w:r w:rsidRPr="00D8443C">
        <w:rPr>
          <w:lang w:val="fr-FR"/>
        </w:rPr>
        <w:instrText xml:space="preserve"> SEQ Tableau \* ARABIC </w:instrText>
      </w:r>
      <w:r>
        <w:fldChar w:fldCharType="separate"/>
      </w:r>
      <w:r w:rsidR="00B35F4A">
        <w:rPr>
          <w:noProof/>
          <w:lang w:val="fr-FR"/>
        </w:rPr>
        <w:t>2</w:t>
      </w:r>
      <w:r>
        <w:fldChar w:fldCharType="end"/>
      </w:r>
      <w:bookmarkEnd w:id="1"/>
      <w:r w:rsidRPr="00D8443C">
        <w:rPr>
          <w:lang w:val="fr-FR"/>
        </w:rPr>
        <w:t xml:space="preserve"> : Calage-contrôle du modèle hydrologique GR2M aux sous-bassins versants jaugés</w:t>
      </w:r>
      <w:r>
        <w:rPr>
          <w:lang w:val="fr-FR"/>
        </w:rPr>
        <w:t> : paramètres, période de calage-contrôle et critère de Nash</w:t>
      </w:r>
    </w:p>
    <w:tbl>
      <w:tblPr>
        <w:tblW w:w="5000" w:type="pct"/>
        <w:tblLayout w:type="fixed"/>
        <w:tblCellMar>
          <w:left w:w="70" w:type="dxa"/>
          <w:right w:w="70" w:type="dxa"/>
        </w:tblCellMar>
        <w:tblLook w:val="04A0" w:firstRow="1" w:lastRow="0" w:firstColumn="1" w:lastColumn="0" w:noHBand="0" w:noVBand="1"/>
      </w:tblPr>
      <w:tblGrid>
        <w:gridCol w:w="1072"/>
        <w:gridCol w:w="1160"/>
        <w:gridCol w:w="981"/>
        <w:gridCol w:w="1072"/>
        <w:gridCol w:w="1072"/>
        <w:gridCol w:w="1072"/>
        <w:gridCol w:w="1079"/>
        <w:gridCol w:w="1074"/>
        <w:gridCol w:w="1056"/>
      </w:tblGrid>
      <w:tr w:rsidR="00D8443C" w:rsidRPr="00DA09B6" w:rsidTr="003F44A4">
        <w:trPr>
          <w:trHeight w:val="900"/>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Bassin</w:t>
            </w:r>
          </w:p>
        </w:tc>
        <w:tc>
          <w:tcPr>
            <w:tcW w:w="602" w:type="pct"/>
            <w:tcBorders>
              <w:top w:val="single" w:sz="4" w:space="0" w:color="auto"/>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Station</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Période d'observation des débits</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Période calage</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Paramètre X1</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Paramètre X2</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Nash Calage</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Période contrôle</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Nash contrôle</w:t>
            </w:r>
          </w:p>
        </w:tc>
      </w:tr>
      <w:tr w:rsidR="00D8443C" w:rsidRPr="00DA09B6" w:rsidTr="003F44A4">
        <w:trPr>
          <w:trHeight w:val="300"/>
        </w:trPr>
        <w:tc>
          <w:tcPr>
            <w:tcW w:w="5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Bafing</w:t>
            </w:r>
          </w:p>
        </w:tc>
        <w:tc>
          <w:tcPr>
            <w:tcW w:w="6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Bafingdala</w:t>
            </w:r>
          </w:p>
        </w:tc>
        <w:tc>
          <w:tcPr>
            <w:tcW w:w="509" w:type="pct"/>
            <w:vMerge w:val="restart"/>
            <w:tcBorders>
              <w:top w:val="nil"/>
              <w:left w:val="single" w:sz="4" w:space="0" w:color="auto"/>
              <w:bottom w:val="single" w:sz="4" w:space="0" w:color="000000"/>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01/1961-12/2001</w:t>
            </w:r>
          </w:p>
        </w:tc>
        <w:tc>
          <w:tcPr>
            <w:tcW w:w="556"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01/1962-12/1981</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7.493</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0.624</w:t>
            </w:r>
          </w:p>
        </w:tc>
        <w:tc>
          <w:tcPr>
            <w:tcW w:w="560"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84.1</w:t>
            </w:r>
          </w:p>
        </w:tc>
        <w:tc>
          <w:tcPr>
            <w:tcW w:w="557"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01/1982-12/2001</w:t>
            </w:r>
          </w:p>
        </w:tc>
        <w:tc>
          <w:tcPr>
            <w:tcW w:w="548"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82.9</w:t>
            </w:r>
          </w:p>
        </w:tc>
      </w:tr>
      <w:tr w:rsidR="00D8443C" w:rsidRPr="00DA09B6" w:rsidTr="003F44A4">
        <w:trPr>
          <w:trHeight w:val="300"/>
        </w:trPr>
        <w:tc>
          <w:tcPr>
            <w:tcW w:w="556"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602"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509" w:type="pct"/>
            <w:vMerge/>
            <w:tcBorders>
              <w:top w:val="nil"/>
              <w:left w:val="single" w:sz="4" w:space="0" w:color="auto"/>
              <w:bottom w:val="single" w:sz="4" w:space="0" w:color="000000"/>
              <w:right w:val="single" w:sz="4" w:space="0" w:color="auto"/>
            </w:tcBorders>
            <w:vAlign w:val="center"/>
            <w:hideMark/>
          </w:tcPr>
          <w:p w:rsidR="00D8443C" w:rsidRPr="00DA09B6" w:rsidRDefault="00D8443C" w:rsidP="003F44A4">
            <w:pPr>
              <w:rPr>
                <w:color w:val="000000"/>
                <w:sz w:val="22"/>
                <w:szCs w:val="22"/>
              </w:rPr>
            </w:pPr>
          </w:p>
        </w:tc>
        <w:tc>
          <w:tcPr>
            <w:tcW w:w="556"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01/1982-12/2001</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7.496</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0.645</w:t>
            </w:r>
          </w:p>
        </w:tc>
        <w:tc>
          <w:tcPr>
            <w:tcW w:w="560"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83.6</w:t>
            </w:r>
          </w:p>
        </w:tc>
        <w:tc>
          <w:tcPr>
            <w:tcW w:w="557"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01/1962-12/1981</w:t>
            </w:r>
          </w:p>
        </w:tc>
        <w:tc>
          <w:tcPr>
            <w:tcW w:w="548"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83.2</w:t>
            </w:r>
          </w:p>
        </w:tc>
      </w:tr>
      <w:tr w:rsidR="00D8443C" w:rsidRPr="00DA09B6" w:rsidTr="003F44A4">
        <w:trPr>
          <w:trHeight w:val="300"/>
        </w:trPr>
        <w:tc>
          <w:tcPr>
            <w:tcW w:w="556"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602"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509" w:type="pct"/>
            <w:vMerge/>
            <w:tcBorders>
              <w:top w:val="nil"/>
              <w:left w:val="single" w:sz="4" w:space="0" w:color="auto"/>
              <w:bottom w:val="single" w:sz="4" w:space="0" w:color="000000"/>
              <w:right w:val="single" w:sz="4" w:space="0" w:color="auto"/>
            </w:tcBorders>
            <w:vAlign w:val="center"/>
            <w:hideMark/>
          </w:tcPr>
          <w:p w:rsidR="00D8443C" w:rsidRPr="00DA09B6" w:rsidRDefault="00D8443C" w:rsidP="003F44A4">
            <w:pPr>
              <w:rPr>
                <w:color w:val="000000"/>
                <w:sz w:val="22"/>
                <w:szCs w:val="22"/>
              </w:rPr>
            </w:pPr>
          </w:p>
        </w:tc>
        <w:tc>
          <w:tcPr>
            <w:tcW w:w="2785" w:type="pct"/>
            <w:gridSpan w:val="5"/>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p>
        </w:tc>
        <w:tc>
          <w:tcPr>
            <w:tcW w:w="548"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b/>
                <w:bCs/>
                <w:color w:val="000000"/>
                <w:sz w:val="22"/>
                <w:szCs w:val="22"/>
              </w:rPr>
            </w:pPr>
            <w:r w:rsidRPr="00DA09B6">
              <w:rPr>
                <w:b/>
                <w:bCs/>
                <w:color w:val="000000"/>
                <w:sz w:val="22"/>
                <w:szCs w:val="22"/>
              </w:rPr>
              <w:t>83.1</w:t>
            </w:r>
          </w:p>
        </w:tc>
      </w:tr>
      <w:tr w:rsidR="00D8443C" w:rsidRPr="00DA09B6" w:rsidTr="003F44A4">
        <w:trPr>
          <w:trHeight w:val="300"/>
        </w:trPr>
        <w:tc>
          <w:tcPr>
            <w:tcW w:w="5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Sassandra</w:t>
            </w:r>
          </w:p>
        </w:tc>
        <w:tc>
          <w:tcPr>
            <w:tcW w:w="6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Semien</w:t>
            </w:r>
          </w:p>
        </w:tc>
        <w:tc>
          <w:tcPr>
            <w:tcW w:w="509" w:type="pct"/>
            <w:vMerge w:val="restart"/>
            <w:tcBorders>
              <w:top w:val="nil"/>
              <w:left w:val="single" w:sz="4" w:space="0" w:color="auto"/>
              <w:bottom w:val="single" w:sz="4" w:space="0" w:color="000000"/>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01/1954-12/1999</w:t>
            </w:r>
          </w:p>
        </w:tc>
        <w:tc>
          <w:tcPr>
            <w:tcW w:w="556"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01/1955-12/1977</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7.086</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0.648</w:t>
            </w:r>
          </w:p>
        </w:tc>
        <w:tc>
          <w:tcPr>
            <w:tcW w:w="560"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84.4</w:t>
            </w:r>
          </w:p>
        </w:tc>
        <w:tc>
          <w:tcPr>
            <w:tcW w:w="557"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01/1978-12/1999</w:t>
            </w:r>
          </w:p>
        </w:tc>
        <w:tc>
          <w:tcPr>
            <w:tcW w:w="548"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87.1</w:t>
            </w:r>
          </w:p>
        </w:tc>
      </w:tr>
      <w:tr w:rsidR="00D8443C" w:rsidRPr="00DA09B6" w:rsidTr="003F44A4">
        <w:trPr>
          <w:trHeight w:val="300"/>
        </w:trPr>
        <w:tc>
          <w:tcPr>
            <w:tcW w:w="556"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602"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509" w:type="pct"/>
            <w:vMerge/>
            <w:tcBorders>
              <w:top w:val="nil"/>
              <w:left w:val="single" w:sz="4" w:space="0" w:color="auto"/>
              <w:bottom w:val="single" w:sz="4" w:space="0" w:color="000000"/>
              <w:right w:val="single" w:sz="4" w:space="0" w:color="auto"/>
            </w:tcBorders>
            <w:vAlign w:val="center"/>
            <w:hideMark/>
          </w:tcPr>
          <w:p w:rsidR="00D8443C" w:rsidRPr="00DA09B6" w:rsidRDefault="00D8443C" w:rsidP="003F44A4">
            <w:pPr>
              <w:rPr>
                <w:color w:val="000000"/>
                <w:sz w:val="22"/>
                <w:szCs w:val="22"/>
              </w:rPr>
            </w:pPr>
          </w:p>
        </w:tc>
        <w:tc>
          <w:tcPr>
            <w:tcW w:w="556"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01/1978-12/1999</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6.835</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0.604</w:t>
            </w:r>
          </w:p>
        </w:tc>
        <w:tc>
          <w:tcPr>
            <w:tcW w:w="560"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89.8</w:t>
            </w:r>
          </w:p>
        </w:tc>
        <w:tc>
          <w:tcPr>
            <w:tcW w:w="557"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01/1955-12/1977</w:t>
            </w:r>
          </w:p>
        </w:tc>
        <w:tc>
          <w:tcPr>
            <w:tcW w:w="548"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82.0</w:t>
            </w:r>
          </w:p>
        </w:tc>
      </w:tr>
      <w:tr w:rsidR="00D8443C" w:rsidRPr="00DA09B6" w:rsidTr="003F44A4">
        <w:trPr>
          <w:trHeight w:val="300"/>
        </w:trPr>
        <w:tc>
          <w:tcPr>
            <w:tcW w:w="556"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602"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509" w:type="pct"/>
            <w:vMerge/>
            <w:tcBorders>
              <w:top w:val="nil"/>
              <w:left w:val="single" w:sz="4" w:space="0" w:color="auto"/>
              <w:bottom w:val="single" w:sz="4" w:space="0" w:color="000000"/>
              <w:right w:val="single" w:sz="4" w:space="0" w:color="auto"/>
            </w:tcBorders>
            <w:vAlign w:val="center"/>
            <w:hideMark/>
          </w:tcPr>
          <w:p w:rsidR="00D8443C" w:rsidRPr="00DA09B6" w:rsidRDefault="00D8443C" w:rsidP="003F44A4">
            <w:pPr>
              <w:rPr>
                <w:color w:val="000000"/>
                <w:sz w:val="22"/>
                <w:szCs w:val="22"/>
              </w:rPr>
            </w:pPr>
          </w:p>
        </w:tc>
        <w:tc>
          <w:tcPr>
            <w:tcW w:w="2228" w:type="pct"/>
            <w:gridSpan w:val="4"/>
            <w:tcBorders>
              <w:top w:val="nil"/>
              <w:left w:val="nil"/>
              <w:bottom w:val="single" w:sz="4" w:space="0" w:color="auto"/>
              <w:right w:val="single" w:sz="4" w:space="0" w:color="auto"/>
            </w:tcBorders>
            <w:shd w:val="clear" w:color="auto" w:fill="auto"/>
            <w:vAlign w:val="center"/>
          </w:tcPr>
          <w:p w:rsidR="00D8443C" w:rsidRPr="00DA09B6" w:rsidRDefault="00D8443C" w:rsidP="003F44A4">
            <w:pPr>
              <w:jc w:val="center"/>
              <w:rPr>
                <w:color w:val="000000"/>
                <w:sz w:val="22"/>
                <w:szCs w:val="22"/>
              </w:rPr>
            </w:pPr>
          </w:p>
        </w:tc>
        <w:tc>
          <w:tcPr>
            <w:tcW w:w="557"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 </w:t>
            </w:r>
          </w:p>
        </w:tc>
        <w:tc>
          <w:tcPr>
            <w:tcW w:w="548"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b/>
                <w:bCs/>
                <w:color w:val="000000"/>
                <w:sz w:val="22"/>
                <w:szCs w:val="22"/>
              </w:rPr>
            </w:pPr>
            <w:r w:rsidRPr="00DA09B6">
              <w:rPr>
                <w:b/>
                <w:bCs/>
                <w:color w:val="000000"/>
                <w:sz w:val="22"/>
                <w:szCs w:val="22"/>
              </w:rPr>
              <w:t>84.6</w:t>
            </w:r>
          </w:p>
        </w:tc>
      </w:tr>
      <w:tr w:rsidR="00D8443C" w:rsidRPr="00DA09B6" w:rsidTr="003F44A4">
        <w:trPr>
          <w:trHeight w:val="300"/>
        </w:trPr>
        <w:tc>
          <w:tcPr>
            <w:tcW w:w="5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N'zo</w:t>
            </w:r>
          </w:p>
        </w:tc>
        <w:tc>
          <w:tcPr>
            <w:tcW w:w="6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Guiglo</w:t>
            </w:r>
          </w:p>
        </w:tc>
        <w:tc>
          <w:tcPr>
            <w:tcW w:w="509" w:type="pct"/>
            <w:vMerge w:val="restart"/>
            <w:tcBorders>
              <w:top w:val="nil"/>
              <w:left w:val="single" w:sz="4" w:space="0" w:color="auto"/>
              <w:bottom w:val="single" w:sz="4" w:space="0" w:color="000000"/>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01/1958-12/1980</w:t>
            </w:r>
          </w:p>
        </w:tc>
        <w:tc>
          <w:tcPr>
            <w:tcW w:w="556"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01/1959-12/1968</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6.877</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0.690</w:t>
            </w:r>
          </w:p>
        </w:tc>
        <w:tc>
          <w:tcPr>
            <w:tcW w:w="560"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83.3</w:t>
            </w:r>
          </w:p>
        </w:tc>
        <w:tc>
          <w:tcPr>
            <w:tcW w:w="557"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01/1969-12/1980</w:t>
            </w:r>
          </w:p>
        </w:tc>
        <w:tc>
          <w:tcPr>
            <w:tcW w:w="548"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71.2</w:t>
            </w:r>
          </w:p>
        </w:tc>
      </w:tr>
      <w:tr w:rsidR="00D8443C" w:rsidRPr="00DA09B6" w:rsidTr="003F44A4">
        <w:trPr>
          <w:trHeight w:val="300"/>
        </w:trPr>
        <w:tc>
          <w:tcPr>
            <w:tcW w:w="556"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602"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509" w:type="pct"/>
            <w:vMerge/>
            <w:tcBorders>
              <w:top w:val="nil"/>
              <w:left w:val="single" w:sz="4" w:space="0" w:color="auto"/>
              <w:bottom w:val="single" w:sz="4" w:space="0" w:color="000000"/>
              <w:right w:val="single" w:sz="4" w:space="0" w:color="auto"/>
            </w:tcBorders>
            <w:vAlign w:val="center"/>
            <w:hideMark/>
          </w:tcPr>
          <w:p w:rsidR="00D8443C" w:rsidRPr="00DA09B6" w:rsidRDefault="00D8443C" w:rsidP="003F44A4">
            <w:pPr>
              <w:rPr>
                <w:color w:val="000000"/>
                <w:sz w:val="22"/>
                <w:szCs w:val="22"/>
              </w:rPr>
            </w:pPr>
          </w:p>
        </w:tc>
        <w:tc>
          <w:tcPr>
            <w:tcW w:w="556"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01/1969-12/1980</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6.666</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0.632</w:t>
            </w:r>
          </w:p>
        </w:tc>
        <w:tc>
          <w:tcPr>
            <w:tcW w:w="560"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75.0</w:t>
            </w:r>
          </w:p>
        </w:tc>
        <w:tc>
          <w:tcPr>
            <w:tcW w:w="557"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01/1959-12/1968</w:t>
            </w:r>
          </w:p>
        </w:tc>
        <w:tc>
          <w:tcPr>
            <w:tcW w:w="548"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80.3</w:t>
            </w:r>
          </w:p>
        </w:tc>
      </w:tr>
      <w:tr w:rsidR="00D8443C" w:rsidRPr="00DA09B6" w:rsidTr="003F44A4">
        <w:trPr>
          <w:trHeight w:val="300"/>
        </w:trPr>
        <w:tc>
          <w:tcPr>
            <w:tcW w:w="556"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602"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509" w:type="pct"/>
            <w:vMerge/>
            <w:tcBorders>
              <w:top w:val="nil"/>
              <w:left w:val="single" w:sz="4" w:space="0" w:color="auto"/>
              <w:bottom w:val="single" w:sz="4" w:space="0" w:color="000000"/>
              <w:right w:val="single" w:sz="4" w:space="0" w:color="auto"/>
            </w:tcBorders>
            <w:vAlign w:val="center"/>
            <w:hideMark/>
          </w:tcPr>
          <w:p w:rsidR="00D8443C" w:rsidRPr="00DA09B6" w:rsidRDefault="00D8443C" w:rsidP="003F44A4">
            <w:pPr>
              <w:rPr>
                <w:color w:val="000000"/>
                <w:sz w:val="22"/>
                <w:szCs w:val="22"/>
              </w:rPr>
            </w:pPr>
          </w:p>
        </w:tc>
        <w:tc>
          <w:tcPr>
            <w:tcW w:w="2785" w:type="pct"/>
            <w:gridSpan w:val="5"/>
            <w:tcBorders>
              <w:top w:val="nil"/>
              <w:left w:val="nil"/>
              <w:bottom w:val="single" w:sz="4" w:space="0" w:color="auto"/>
              <w:right w:val="single" w:sz="4" w:space="0" w:color="auto"/>
            </w:tcBorders>
            <w:shd w:val="clear" w:color="auto" w:fill="auto"/>
            <w:vAlign w:val="center"/>
          </w:tcPr>
          <w:p w:rsidR="00D8443C" w:rsidRPr="00DA09B6" w:rsidRDefault="00D8443C" w:rsidP="003F44A4">
            <w:pPr>
              <w:jc w:val="center"/>
              <w:rPr>
                <w:color w:val="000000"/>
                <w:sz w:val="22"/>
                <w:szCs w:val="22"/>
              </w:rPr>
            </w:pPr>
          </w:p>
        </w:tc>
        <w:tc>
          <w:tcPr>
            <w:tcW w:w="548"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b/>
                <w:bCs/>
                <w:color w:val="000000"/>
                <w:sz w:val="22"/>
                <w:szCs w:val="22"/>
              </w:rPr>
            </w:pPr>
            <w:r w:rsidRPr="00DA09B6">
              <w:rPr>
                <w:b/>
                <w:bCs/>
                <w:color w:val="000000"/>
                <w:sz w:val="22"/>
                <w:szCs w:val="22"/>
              </w:rPr>
              <w:t>75.8</w:t>
            </w:r>
          </w:p>
        </w:tc>
      </w:tr>
      <w:tr w:rsidR="00D8443C" w:rsidRPr="00DA09B6" w:rsidTr="003F44A4">
        <w:trPr>
          <w:trHeight w:val="300"/>
        </w:trPr>
        <w:tc>
          <w:tcPr>
            <w:tcW w:w="5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Sassandra</w:t>
            </w:r>
          </w:p>
        </w:tc>
        <w:tc>
          <w:tcPr>
            <w:tcW w:w="602" w:type="pct"/>
            <w:vMerge w:val="restart"/>
            <w:tcBorders>
              <w:top w:val="nil"/>
              <w:left w:val="single" w:sz="4" w:space="0" w:color="auto"/>
              <w:bottom w:val="single" w:sz="4" w:space="0" w:color="000000"/>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Barrage Buyo</w:t>
            </w:r>
          </w:p>
        </w:tc>
        <w:tc>
          <w:tcPr>
            <w:tcW w:w="509" w:type="pct"/>
            <w:vMerge w:val="restart"/>
            <w:tcBorders>
              <w:top w:val="nil"/>
              <w:left w:val="single" w:sz="4" w:space="0" w:color="auto"/>
              <w:bottom w:val="single" w:sz="4" w:space="0" w:color="000000"/>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w:t>
            </w:r>
          </w:p>
        </w:tc>
        <w:tc>
          <w:tcPr>
            <w:tcW w:w="556"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01/1982-12/1997</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6.971</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0.585</w:t>
            </w:r>
          </w:p>
        </w:tc>
        <w:tc>
          <w:tcPr>
            <w:tcW w:w="560"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87.7</w:t>
            </w:r>
          </w:p>
        </w:tc>
        <w:tc>
          <w:tcPr>
            <w:tcW w:w="557"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01/1998-12/2013</w:t>
            </w:r>
          </w:p>
        </w:tc>
        <w:tc>
          <w:tcPr>
            <w:tcW w:w="548"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79.7</w:t>
            </w:r>
          </w:p>
        </w:tc>
      </w:tr>
      <w:tr w:rsidR="00D8443C" w:rsidRPr="00DA09B6" w:rsidTr="003F44A4">
        <w:trPr>
          <w:trHeight w:val="300"/>
        </w:trPr>
        <w:tc>
          <w:tcPr>
            <w:tcW w:w="556"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602" w:type="pct"/>
            <w:vMerge/>
            <w:tcBorders>
              <w:top w:val="nil"/>
              <w:left w:val="single" w:sz="4" w:space="0" w:color="auto"/>
              <w:bottom w:val="single" w:sz="4" w:space="0" w:color="000000"/>
              <w:right w:val="single" w:sz="4" w:space="0" w:color="auto"/>
            </w:tcBorders>
            <w:vAlign w:val="center"/>
            <w:hideMark/>
          </w:tcPr>
          <w:p w:rsidR="00D8443C" w:rsidRPr="00DA09B6" w:rsidRDefault="00D8443C" w:rsidP="003F44A4">
            <w:pPr>
              <w:rPr>
                <w:color w:val="000000"/>
                <w:sz w:val="22"/>
                <w:szCs w:val="22"/>
              </w:rPr>
            </w:pPr>
          </w:p>
        </w:tc>
        <w:tc>
          <w:tcPr>
            <w:tcW w:w="509" w:type="pct"/>
            <w:vMerge/>
            <w:tcBorders>
              <w:top w:val="nil"/>
              <w:left w:val="single" w:sz="4" w:space="0" w:color="auto"/>
              <w:bottom w:val="single" w:sz="4" w:space="0" w:color="000000"/>
              <w:right w:val="single" w:sz="4" w:space="0" w:color="auto"/>
            </w:tcBorders>
            <w:vAlign w:val="center"/>
            <w:hideMark/>
          </w:tcPr>
          <w:p w:rsidR="00D8443C" w:rsidRPr="00DA09B6" w:rsidRDefault="00D8443C" w:rsidP="003F44A4">
            <w:pPr>
              <w:rPr>
                <w:color w:val="000000"/>
                <w:sz w:val="22"/>
                <w:szCs w:val="22"/>
              </w:rPr>
            </w:pPr>
          </w:p>
        </w:tc>
        <w:tc>
          <w:tcPr>
            <w:tcW w:w="556"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01/1998-12/2013</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6.974</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0.625</w:t>
            </w:r>
          </w:p>
        </w:tc>
        <w:tc>
          <w:tcPr>
            <w:tcW w:w="560"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82.5</w:t>
            </w:r>
          </w:p>
        </w:tc>
        <w:tc>
          <w:tcPr>
            <w:tcW w:w="557"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01/1982-12/1997</w:t>
            </w:r>
          </w:p>
        </w:tc>
        <w:tc>
          <w:tcPr>
            <w:tcW w:w="548"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84.4</w:t>
            </w:r>
          </w:p>
        </w:tc>
      </w:tr>
      <w:tr w:rsidR="00D8443C" w:rsidRPr="00DA09B6" w:rsidTr="003F44A4">
        <w:trPr>
          <w:trHeight w:val="300"/>
        </w:trPr>
        <w:tc>
          <w:tcPr>
            <w:tcW w:w="556"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602" w:type="pct"/>
            <w:vMerge/>
            <w:tcBorders>
              <w:top w:val="nil"/>
              <w:left w:val="single" w:sz="4" w:space="0" w:color="auto"/>
              <w:bottom w:val="single" w:sz="4" w:space="0" w:color="000000"/>
              <w:right w:val="single" w:sz="4" w:space="0" w:color="auto"/>
            </w:tcBorders>
            <w:vAlign w:val="center"/>
            <w:hideMark/>
          </w:tcPr>
          <w:p w:rsidR="00D8443C" w:rsidRPr="00DA09B6" w:rsidRDefault="00D8443C" w:rsidP="003F44A4">
            <w:pPr>
              <w:rPr>
                <w:color w:val="000000"/>
                <w:sz w:val="22"/>
                <w:szCs w:val="22"/>
              </w:rPr>
            </w:pPr>
          </w:p>
        </w:tc>
        <w:tc>
          <w:tcPr>
            <w:tcW w:w="509" w:type="pct"/>
            <w:vMerge/>
            <w:tcBorders>
              <w:top w:val="nil"/>
              <w:left w:val="single" w:sz="4" w:space="0" w:color="auto"/>
              <w:bottom w:val="single" w:sz="4" w:space="0" w:color="000000"/>
              <w:right w:val="single" w:sz="4" w:space="0" w:color="auto"/>
            </w:tcBorders>
            <w:vAlign w:val="center"/>
            <w:hideMark/>
          </w:tcPr>
          <w:p w:rsidR="00D8443C" w:rsidRPr="00DA09B6" w:rsidRDefault="00D8443C" w:rsidP="003F44A4">
            <w:pPr>
              <w:rPr>
                <w:color w:val="000000"/>
                <w:sz w:val="22"/>
                <w:szCs w:val="22"/>
              </w:rPr>
            </w:pPr>
          </w:p>
        </w:tc>
        <w:tc>
          <w:tcPr>
            <w:tcW w:w="2785" w:type="pct"/>
            <w:gridSpan w:val="5"/>
            <w:tcBorders>
              <w:top w:val="nil"/>
              <w:left w:val="nil"/>
              <w:bottom w:val="single" w:sz="4" w:space="0" w:color="auto"/>
              <w:right w:val="single" w:sz="4" w:space="0" w:color="auto"/>
            </w:tcBorders>
            <w:shd w:val="clear" w:color="auto" w:fill="auto"/>
            <w:vAlign w:val="center"/>
          </w:tcPr>
          <w:p w:rsidR="00D8443C" w:rsidRPr="00DA09B6" w:rsidRDefault="00D8443C" w:rsidP="003F44A4">
            <w:pPr>
              <w:jc w:val="center"/>
              <w:rPr>
                <w:color w:val="000000"/>
                <w:sz w:val="22"/>
                <w:szCs w:val="22"/>
              </w:rPr>
            </w:pPr>
          </w:p>
        </w:tc>
        <w:tc>
          <w:tcPr>
            <w:tcW w:w="548"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b/>
                <w:bCs/>
                <w:color w:val="000000"/>
                <w:sz w:val="22"/>
                <w:szCs w:val="22"/>
              </w:rPr>
            </w:pPr>
            <w:r w:rsidRPr="00DA09B6">
              <w:rPr>
                <w:b/>
                <w:bCs/>
                <w:color w:val="000000"/>
                <w:sz w:val="22"/>
                <w:szCs w:val="22"/>
              </w:rPr>
              <w:t>82.1</w:t>
            </w:r>
          </w:p>
        </w:tc>
      </w:tr>
      <w:tr w:rsidR="00D8443C" w:rsidRPr="00DA09B6" w:rsidTr="003F44A4">
        <w:trPr>
          <w:trHeight w:val="300"/>
        </w:trPr>
        <w:tc>
          <w:tcPr>
            <w:tcW w:w="5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Lobo</w:t>
            </w:r>
          </w:p>
        </w:tc>
        <w:tc>
          <w:tcPr>
            <w:tcW w:w="6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Loboville</w:t>
            </w:r>
          </w:p>
        </w:tc>
        <w:tc>
          <w:tcPr>
            <w:tcW w:w="509" w:type="pct"/>
            <w:vMerge w:val="restart"/>
            <w:tcBorders>
              <w:top w:val="nil"/>
              <w:left w:val="single" w:sz="4" w:space="0" w:color="auto"/>
              <w:bottom w:val="single" w:sz="4" w:space="0" w:color="000000"/>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01/1998-12/2007</w:t>
            </w:r>
          </w:p>
        </w:tc>
        <w:tc>
          <w:tcPr>
            <w:tcW w:w="556"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01/1999-12/2003</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7.888</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0.439</w:t>
            </w:r>
          </w:p>
        </w:tc>
        <w:tc>
          <w:tcPr>
            <w:tcW w:w="560"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54.9</w:t>
            </w:r>
          </w:p>
        </w:tc>
        <w:tc>
          <w:tcPr>
            <w:tcW w:w="557"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01/2004-12/2007</w:t>
            </w:r>
          </w:p>
        </w:tc>
        <w:tc>
          <w:tcPr>
            <w:tcW w:w="548"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39.0</w:t>
            </w:r>
          </w:p>
        </w:tc>
      </w:tr>
      <w:tr w:rsidR="00D8443C" w:rsidRPr="00DA09B6" w:rsidTr="003F44A4">
        <w:trPr>
          <w:trHeight w:val="300"/>
        </w:trPr>
        <w:tc>
          <w:tcPr>
            <w:tcW w:w="556"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602"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509" w:type="pct"/>
            <w:vMerge/>
            <w:tcBorders>
              <w:top w:val="nil"/>
              <w:left w:val="single" w:sz="4" w:space="0" w:color="auto"/>
              <w:bottom w:val="single" w:sz="4" w:space="0" w:color="000000"/>
              <w:right w:val="single" w:sz="4" w:space="0" w:color="auto"/>
            </w:tcBorders>
            <w:vAlign w:val="center"/>
            <w:hideMark/>
          </w:tcPr>
          <w:p w:rsidR="00D8443C" w:rsidRPr="00DA09B6" w:rsidRDefault="00D8443C" w:rsidP="003F44A4">
            <w:pPr>
              <w:rPr>
                <w:color w:val="000000"/>
                <w:sz w:val="22"/>
                <w:szCs w:val="22"/>
              </w:rPr>
            </w:pPr>
          </w:p>
        </w:tc>
        <w:tc>
          <w:tcPr>
            <w:tcW w:w="556"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01/2004-12/2007</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8.491</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0.443</w:t>
            </w:r>
          </w:p>
        </w:tc>
        <w:tc>
          <w:tcPr>
            <w:tcW w:w="560"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44.5</w:t>
            </w:r>
          </w:p>
        </w:tc>
        <w:tc>
          <w:tcPr>
            <w:tcW w:w="557"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01/1999-12/2003</w:t>
            </w:r>
          </w:p>
        </w:tc>
        <w:tc>
          <w:tcPr>
            <w:tcW w:w="548"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51.5</w:t>
            </w:r>
          </w:p>
        </w:tc>
      </w:tr>
      <w:tr w:rsidR="00D8443C" w:rsidRPr="00DA09B6" w:rsidTr="003F44A4">
        <w:trPr>
          <w:trHeight w:val="300"/>
        </w:trPr>
        <w:tc>
          <w:tcPr>
            <w:tcW w:w="556"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602"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509" w:type="pct"/>
            <w:vMerge/>
            <w:tcBorders>
              <w:top w:val="nil"/>
              <w:left w:val="single" w:sz="4" w:space="0" w:color="auto"/>
              <w:bottom w:val="single" w:sz="4" w:space="0" w:color="000000"/>
              <w:right w:val="single" w:sz="4" w:space="0" w:color="auto"/>
            </w:tcBorders>
            <w:vAlign w:val="center"/>
            <w:hideMark/>
          </w:tcPr>
          <w:p w:rsidR="00D8443C" w:rsidRPr="00DA09B6" w:rsidRDefault="00D8443C" w:rsidP="003F44A4">
            <w:pPr>
              <w:rPr>
                <w:color w:val="000000"/>
                <w:sz w:val="22"/>
                <w:szCs w:val="22"/>
              </w:rPr>
            </w:pPr>
          </w:p>
        </w:tc>
        <w:tc>
          <w:tcPr>
            <w:tcW w:w="2785" w:type="pct"/>
            <w:gridSpan w:val="5"/>
            <w:tcBorders>
              <w:top w:val="nil"/>
              <w:left w:val="nil"/>
              <w:bottom w:val="single" w:sz="4" w:space="0" w:color="auto"/>
              <w:right w:val="single" w:sz="4" w:space="0" w:color="auto"/>
            </w:tcBorders>
            <w:shd w:val="clear" w:color="auto" w:fill="auto"/>
            <w:vAlign w:val="center"/>
          </w:tcPr>
          <w:p w:rsidR="00D8443C" w:rsidRPr="00DA09B6" w:rsidRDefault="00D8443C" w:rsidP="003F44A4">
            <w:pPr>
              <w:jc w:val="center"/>
              <w:rPr>
                <w:color w:val="000000"/>
                <w:sz w:val="22"/>
                <w:szCs w:val="22"/>
              </w:rPr>
            </w:pPr>
          </w:p>
        </w:tc>
        <w:tc>
          <w:tcPr>
            <w:tcW w:w="548"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b/>
                <w:bCs/>
                <w:color w:val="000000"/>
                <w:sz w:val="22"/>
                <w:szCs w:val="22"/>
              </w:rPr>
            </w:pPr>
            <w:r w:rsidRPr="00DA09B6">
              <w:rPr>
                <w:b/>
                <w:bCs/>
                <w:color w:val="000000"/>
                <w:sz w:val="22"/>
                <w:szCs w:val="22"/>
              </w:rPr>
              <w:t>45.3</w:t>
            </w:r>
          </w:p>
        </w:tc>
      </w:tr>
      <w:tr w:rsidR="00D8443C" w:rsidRPr="00DA09B6" w:rsidTr="003F44A4">
        <w:trPr>
          <w:trHeight w:val="300"/>
        </w:trPr>
        <w:tc>
          <w:tcPr>
            <w:tcW w:w="5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Davo</w:t>
            </w:r>
          </w:p>
        </w:tc>
        <w:tc>
          <w:tcPr>
            <w:tcW w:w="6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Dakpadou</w:t>
            </w:r>
          </w:p>
        </w:tc>
        <w:tc>
          <w:tcPr>
            <w:tcW w:w="509" w:type="pct"/>
            <w:vMerge w:val="restart"/>
            <w:tcBorders>
              <w:top w:val="nil"/>
              <w:left w:val="single" w:sz="4" w:space="0" w:color="auto"/>
              <w:bottom w:val="single" w:sz="4" w:space="0" w:color="000000"/>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01/1969-12/2005</w:t>
            </w:r>
          </w:p>
        </w:tc>
        <w:tc>
          <w:tcPr>
            <w:tcW w:w="556"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01/1970-12/1987</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6.604</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0.579</w:t>
            </w:r>
          </w:p>
        </w:tc>
        <w:tc>
          <w:tcPr>
            <w:tcW w:w="560"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73.4</w:t>
            </w:r>
          </w:p>
        </w:tc>
        <w:tc>
          <w:tcPr>
            <w:tcW w:w="557"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01/1988-12/2004</w:t>
            </w:r>
          </w:p>
        </w:tc>
        <w:tc>
          <w:tcPr>
            <w:tcW w:w="548"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45.7</w:t>
            </w:r>
          </w:p>
        </w:tc>
      </w:tr>
      <w:tr w:rsidR="00D8443C" w:rsidRPr="00DA09B6" w:rsidTr="003F44A4">
        <w:trPr>
          <w:trHeight w:val="300"/>
        </w:trPr>
        <w:tc>
          <w:tcPr>
            <w:tcW w:w="556"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602"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509" w:type="pct"/>
            <w:vMerge/>
            <w:tcBorders>
              <w:top w:val="nil"/>
              <w:left w:val="single" w:sz="4" w:space="0" w:color="auto"/>
              <w:bottom w:val="single" w:sz="4" w:space="0" w:color="000000"/>
              <w:right w:val="single" w:sz="4" w:space="0" w:color="auto"/>
            </w:tcBorders>
            <w:vAlign w:val="center"/>
            <w:hideMark/>
          </w:tcPr>
          <w:p w:rsidR="00D8443C" w:rsidRPr="00DA09B6" w:rsidRDefault="00D8443C" w:rsidP="003F44A4">
            <w:pPr>
              <w:rPr>
                <w:color w:val="000000"/>
                <w:sz w:val="22"/>
                <w:szCs w:val="22"/>
              </w:rPr>
            </w:pPr>
          </w:p>
        </w:tc>
        <w:tc>
          <w:tcPr>
            <w:tcW w:w="556"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01/1988-12/2004</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7.414</w:t>
            </w:r>
          </w:p>
        </w:tc>
        <w:tc>
          <w:tcPr>
            <w:tcW w:w="556"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0.602</w:t>
            </w:r>
          </w:p>
        </w:tc>
        <w:tc>
          <w:tcPr>
            <w:tcW w:w="560"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48.8</w:t>
            </w:r>
          </w:p>
        </w:tc>
        <w:tc>
          <w:tcPr>
            <w:tcW w:w="557"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color w:val="000000"/>
                <w:sz w:val="22"/>
                <w:szCs w:val="22"/>
              </w:rPr>
            </w:pPr>
            <w:r w:rsidRPr="00DA09B6">
              <w:rPr>
                <w:color w:val="000000"/>
                <w:sz w:val="22"/>
                <w:szCs w:val="22"/>
              </w:rPr>
              <w:t>01/1970-12/1987</w:t>
            </w:r>
          </w:p>
        </w:tc>
        <w:tc>
          <w:tcPr>
            <w:tcW w:w="548" w:type="pct"/>
            <w:tcBorders>
              <w:top w:val="nil"/>
              <w:left w:val="nil"/>
              <w:bottom w:val="single" w:sz="4" w:space="0" w:color="auto"/>
              <w:right w:val="single" w:sz="4" w:space="0" w:color="auto"/>
            </w:tcBorders>
            <w:shd w:val="clear" w:color="auto" w:fill="auto"/>
            <w:vAlign w:val="center"/>
            <w:hideMark/>
          </w:tcPr>
          <w:p w:rsidR="00D8443C" w:rsidRPr="00DA09B6" w:rsidRDefault="00D8443C" w:rsidP="003F44A4">
            <w:pPr>
              <w:jc w:val="center"/>
              <w:rPr>
                <w:color w:val="000000"/>
                <w:sz w:val="22"/>
                <w:szCs w:val="22"/>
              </w:rPr>
            </w:pPr>
            <w:r w:rsidRPr="00DA09B6">
              <w:rPr>
                <w:color w:val="000000"/>
                <w:sz w:val="22"/>
                <w:szCs w:val="22"/>
              </w:rPr>
              <w:t>68.7</w:t>
            </w:r>
          </w:p>
        </w:tc>
      </w:tr>
      <w:tr w:rsidR="00D8443C" w:rsidRPr="00DA09B6" w:rsidTr="003F44A4">
        <w:trPr>
          <w:trHeight w:val="300"/>
        </w:trPr>
        <w:tc>
          <w:tcPr>
            <w:tcW w:w="556"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602" w:type="pct"/>
            <w:vMerge/>
            <w:tcBorders>
              <w:top w:val="nil"/>
              <w:left w:val="single" w:sz="4" w:space="0" w:color="auto"/>
              <w:bottom w:val="single" w:sz="4" w:space="0" w:color="auto"/>
              <w:right w:val="single" w:sz="4" w:space="0" w:color="auto"/>
            </w:tcBorders>
            <w:vAlign w:val="center"/>
            <w:hideMark/>
          </w:tcPr>
          <w:p w:rsidR="00D8443C" w:rsidRPr="00DA09B6" w:rsidRDefault="00D8443C" w:rsidP="003F44A4">
            <w:pPr>
              <w:rPr>
                <w:color w:val="000000"/>
                <w:sz w:val="22"/>
                <w:szCs w:val="22"/>
              </w:rPr>
            </w:pPr>
          </w:p>
        </w:tc>
        <w:tc>
          <w:tcPr>
            <w:tcW w:w="509" w:type="pct"/>
            <w:vMerge/>
            <w:tcBorders>
              <w:top w:val="nil"/>
              <w:left w:val="single" w:sz="4" w:space="0" w:color="auto"/>
              <w:bottom w:val="single" w:sz="4" w:space="0" w:color="000000"/>
              <w:right w:val="single" w:sz="4" w:space="0" w:color="auto"/>
            </w:tcBorders>
            <w:vAlign w:val="center"/>
            <w:hideMark/>
          </w:tcPr>
          <w:p w:rsidR="00D8443C" w:rsidRPr="00DA09B6" w:rsidRDefault="00D8443C" w:rsidP="003F44A4">
            <w:pPr>
              <w:rPr>
                <w:color w:val="000000"/>
                <w:sz w:val="22"/>
                <w:szCs w:val="22"/>
              </w:rPr>
            </w:pPr>
          </w:p>
        </w:tc>
        <w:tc>
          <w:tcPr>
            <w:tcW w:w="2785" w:type="pct"/>
            <w:gridSpan w:val="5"/>
            <w:tcBorders>
              <w:top w:val="nil"/>
              <w:left w:val="nil"/>
              <w:bottom w:val="single" w:sz="4" w:space="0" w:color="auto"/>
              <w:right w:val="single" w:sz="4" w:space="0" w:color="auto"/>
            </w:tcBorders>
            <w:shd w:val="clear" w:color="auto" w:fill="auto"/>
            <w:vAlign w:val="bottom"/>
          </w:tcPr>
          <w:p w:rsidR="00D8443C" w:rsidRPr="00DA09B6" w:rsidRDefault="00D8443C" w:rsidP="003F44A4">
            <w:pPr>
              <w:rPr>
                <w:color w:val="000000"/>
                <w:sz w:val="22"/>
                <w:szCs w:val="22"/>
              </w:rPr>
            </w:pPr>
          </w:p>
        </w:tc>
        <w:tc>
          <w:tcPr>
            <w:tcW w:w="548" w:type="pct"/>
            <w:tcBorders>
              <w:top w:val="nil"/>
              <w:left w:val="nil"/>
              <w:bottom w:val="single" w:sz="4" w:space="0" w:color="auto"/>
              <w:right w:val="single" w:sz="4" w:space="0" w:color="auto"/>
            </w:tcBorders>
            <w:shd w:val="clear" w:color="auto" w:fill="auto"/>
            <w:noWrap/>
            <w:vAlign w:val="center"/>
            <w:hideMark/>
          </w:tcPr>
          <w:p w:rsidR="00D8443C" w:rsidRPr="00DA09B6" w:rsidRDefault="00D8443C" w:rsidP="003F44A4">
            <w:pPr>
              <w:jc w:val="center"/>
              <w:rPr>
                <w:b/>
                <w:bCs/>
                <w:color w:val="000000"/>
                <w:sz w:val="22"/>
                <w:szCs w:val="22"/>
              </w:rPr>
            </w:pPr>
            <w:r w:rsidRPr="00DA09B6">
              <w:rPr>
                <w:b/>
                <w:bCs/>
                <w:color w:val="000000"/>
                <w:sz w:val="22"/>
                <w:szCs w:val="22"/>
              </w:rPr>
              <w:t>57.2</w:t>
            </w:r>
          </w:p>
        </w:tc>
      </w:tr>
    </w:tbl>
    <w:p w:rsidR="00D8443C" w:rsidRDefault="00D8443C" w:rsidP="00EA66B6">
      <w:pPr>
        <w:jc w:val="both"/>
        <w:rPr>
          <w:sz w:val="22"/>
        </w:rPr>
      </w:pPr>
    </w:p>
    <w:p w:rsidR="006B41F5" w:rsidRDefault="006B41F5">
      <w:pPr>
        <w:rPr>
          <w:sz w:val="22"/>
        </w:rPr>
      </w:pPr>
      <w:r>
        <w:rPr>
          <w:sz w:val="22"/>
        </w:rPr>
        <w:br w:type="page"/>
      </w:r>
    </w:p>
    <w:p w:rsidR="006B41F5" w:rsidRPr="00D8443C" w:rsidRDefault="006B41F5" w:rsidP="006B41F5">
      <w:pPr>
        <w:pStyle w:val="Lgende"/>
        <w:keepNext/>
        <w:jc w:val="center"/>
        <w:rPr>
          <w:lang w:val="fr-FR"/>
        </w:rPr>
      </w:pPr>
      <w:bookmarkStart w:id="2" w:name="_Ref431313196"/>
      <w:r w:rsidRPr="00D8443C">
        <w:rPr>
          <w:lang w:val="fr-FR"/>
        </w:rPr>
        <w:lastRenderedPageBreak/>
        <w:t xml:space="preserve">Tableau </w:t>
      </w:r>
      <w:r>
        <w:fldChar w:fldCharType="begin"/>
      </w:r>
      <w:r w:rsidRPr="00D8443C">
        <w:rPr>
          <w:lang w:val="fr-FR"/>
        </w:rPr>
        <w:instrText xml:space="preserve"> SEQ Tableau \* ARABIC </w:instrText>
      </w:r>
      <w:r>
        <w:fldChar w:fldCharType="separate"/>
      </w:r>
      <w:r w:rsidR="00B35F4A">
        <w:rPr>
          <w:noProof/>
          <w:lang w:val="fr-FR"/>
        </w:rPr>
        <w:t>3</w:t>
      </w:r>
      <w:r>
        <w:fldChar w:fldCharType="end"/>
      </w:r>
      <w:bookmarkEnd w:id="2"/>
      <w:r w:rsidRPr="00D8443C">
        <w:rPr>
          <w:lang w:val="fr-FR"/>
        </w:rPr>
        <w:t xml:space="preserve"> : Principales caractéristiques hydrologiques des sous-bassins jaugés sur la période 1954-2013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7"/>
        <w:gridCol w:w="1607"/>
        <w:gridCol w:w="1606"/>
        <w:gridCol w:w="1606"/>
        <w:gridCol w:w="1606"/>
        <w:gridCol w:w="1606"/>
      </w:tblGrid>
      <w:tr w:rsidR="006B41F5" w:rsidRPr="00DA09B6" w:rsidTr="003F44A4">
        <w:trPr>
          <w:trHeight w:val="288"/>
        </w:trPr>
        <w:tc>
          <w:tcPr>
            <w:tcW w:w="834" w:type="pct"/>
            <w:shd w:val="clear" w:color="auto" w:fill="auto"/>
            <w:vAlign w:val="center"/>
            <w:hideMark/>
          </w:tcPr>
          <w:p w:rsidR="006B41F5" w:rsidRPr="00DA09B6" w:rsidRDefault="006B41F5" w:rsidP="003F44A4">
            <w:pPr>
              <w:jc w:val="center"/>
              <w:rPr>
                <w:color w:val="000000"/>
                <w:sz w:val="22"/>
                <w:szCs w:val="22"/>
              </w:rPr>
            </w:pPr>
            <w:r w:rsidRPr="00DA09B6">
              <w:rPr>
                <w:color w:val="000000"/>
                <w:sz w:val="22"/>
                <w:szCs w:val="22"/>
              </w:rPr>
              <w:t>Bassin</w:t>
            </w:r>
          </w:p>
        </w:tc>
        <w:tc>
          <w:tcPr>
            <w:tcW w:w="834" w:type="pct"/>
            <w:shd w:val="clear" w:color="auto" w:fill="auto"/>
            <w:vAlign w:val="center"/>
            <w:hideMark/>
          </w:tcPr>
          <w:p w:rsidR="006B41F5" w:rsidRPr="00DA09B6" w:rsidRDefault="006B41F5" w:rsidP="003F44A4">
            <w:pPr>
              <w:jc w:val="center"/>
              <w:rPr>
                <w:color w:val="000000"/>
                <w:sz w:val="22"/>
                <w:szCs w:val="22"/>
              </w:rPr>
            </w:pPr>
            <w:r w:rsidRPr="00DA09B6">
              <w:rPr>
                <w:color w:val="000000"/>
                <w:sz w:val="22"/>
                <w:szCs w:val="22"/>
              </w:rPr>
              <w:t>Station</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Superficie (km²)</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Pluviométrie moyenne annuelle (mm)</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Lame d’eau écoulée annuelle (mm)</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Coefficient de ruissellement (%)</w:t>
            </w:r>
          </w:p>
        </w:tc>
      </w:tr>
      <w:tr w:rsidR="006B41F5" w:rsidRPr="00DA09B6" w:rsidTr="003F44A4">
        <w:trPr>
          <w:trHeight w:val="432"/>
        </w:trPr>
        <w:tc>
          <w:tcPr>
            <w:tcW w:w="834" w:type="pct"/>
            <w:shd w:val="clear" w:color="auto" w:fill="auto"/>
            <w:vAlign w:val="center"/>
          </w:tcPr>
          <w:p w:rsidR="006B41F5" w:rsidRPr="00DA09B6" w:rsidRDefault="006B41F5" w:rsidP="003F44A4">
            <w:pPr>
              <w:jc w:val="center"/>
              <w:rPr>
                <w:color w:val="000000"/>
                <w:sz w:val="22"/>
                <w:szCs w:val="22"/>
              </w:rPr>
            </w:pPr>
            <w:r w:rsidRPr="00DA09B6">
              <w:rPr>
                <w:color w:val="000000"/>
                <w:sz w:val="22"/>
                <w:szCs w:val="22"/>
              </w:rPr>
              <w:t>Bafing</w:t>
            </w:r>
          </w:p>
        </w:tc>
        <w:tc>
          <w:tcPr>
            <w:tcW w:w="834" w:type="pct"/>
            <w:shd w:val="clear" w:color="auto" w:fill="auto"/>
            <w:vAlign w:val="center"/>
          </w:tcPr>
          <w:p w:rsidR="006B41F5" w:rsidRPr="00DA09B6" w:rsidRDefault="006B41F5" w:rsidP="003F44A4">
            <w:pPr>
              <w:jc w:val="center"/>
              <w:rPr>
                <w:color w:val="000000"/>
                <w:sz w:val="22"/>
                <w:szCs w:val="22"/>
              </w:rPr>
            </w:pPr>
            <w:r w:rsidRPr="00DA09B6">
              <w:rPr>
                <w:color w:val="000000"/>
                <w:sz w:val="22"/>
                <w:szCs w:val="22"/>
              </w:rPr>
              <w:t>Bafingdala</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6 195</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1 785</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327</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18%</w:t>
            </w:r>
          </w:p>
        </w:tc>
      </w:tr>
      <w:tr w:rsidR="006B41F5" w:rsidRPr="00DA09B6" w:rsidTr="003F44A4">
        <w:trPr>
          <w:trHeight w:val="432"/>
        </w:trPr>
        <w:tc>
          <w:tcPr>
            <w:tcW w:w="834" w:type="pct"/>
            <w:shd w:val="clear" w:color="auto" w:fill="auto"/>
            <w:vAlign w:val="center"/>
          </w:tcPr>
          <w:p w:rsidR="006B41F5" w:rsidRPr="00DA09B6" w:rsidRDefault="006B41F5" w:rsidP="003F44A4">
            <w:pPr>
              <w:jc w:val="center"/>
              <w:rPr>
                <w:color w:val="000000"/>
                <w:sz w:val="22"/>
                <w:szCs w:val="22"/>
              </w:rPr>
            </w:pPr>
            <w:r w:rsidRPr="00DA09B6">
              <w:rPr>
                <w:color w:val="000000"/>
                <w:sz w:val="22"/>
                <w:szCs w:val="22"/>
              </w:rPr>
              <w:t>Sassandra</w:t>
            </w:r>
          </w:p>
        </w:tc>
        <w:tc>
          <w:tcPr>
            <w:tcW w:w="834" w:type="pct"/>
            <w:shd w:val="clear" w:color="auto" w:fill="auto"/>
            <w:vAlign w:val="center"/>
          </w:tcPr>
          <w:p w:rsidR="006B41F5" w:rsidRPr="00DA09B6" w:rsidRDefault="006B41F5" w:rsidP="003F44A4">
            <w:pPr>
              <w:jc w:val="center"/>
              <w:rPr>
                <w:color w:val="000000"/>
                <w:sz w:val="22"/>
                <w:szCs w:val="22"/>
              </w:rPr>
            </w:pPr>
            <w:r w:rsidRPr="00DA09B6">
              <w:rPr>
                <w:color w:val="000000"/>
                <w:sz w:val="22"/>
                <w:szCs w:val="22"/>
              </w:rPr>
              <w:t>Semien</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29 757</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1 590</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230</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14%</w:t>
            </w:r>
          </w:p>
        </w:tc>
      </w:tr>
      <w:tr w:rsidR="006B41F5" w:rsidRPr="00DA09B6" w:rsidTr="003F44A4">
        <w:trPr>
          <w:trHeight w:val="432"/>
        </w:trPr>
        <w:tc>
          <w:tcPr>
            <w:tcW w:w="834" w:type="pct"/>
            <w:shd w:val="clear" w:color="auto" w:fill="auto"/>
            <w:vAlign w:val="center"/>
          </w:tcPr>
          <w:p w:rsidR="006B41F5" w:rsidRPr="00DA09B6" w:rsidRDefault="006B41F5" w:rsidP="003F44A4">
            <w:pPr>
              <w:jc w:val="center"/>
              <w:rPr>
                <w:color w:val="000000"/>
                <w:sz w:val="22"/>
                <w:szCs w:val="22"/>
              </w:rPr>
            </w:pPr>
            <w:r w:rsidRPr="00DA09B6">
              <w:rPr>
                <w:color w:val="000000"/>
                <w:sz w:val="22"/>
                <w:szCs w:val="22"/>
              </w:rPr>
              <w:t>N'zo</w:t>
            </w:r>
          </w:p>
        </w:tc>
        <w:tc>
          <w:tcPr>
            <w:tcW w:w="834" w:type="pct"/>
            <w:shd w:val="clear" w:color="auto" w:fill="auto"/>
            <w:vAlign w:val="center"/>
          </w:tcPr>
          <w:p w:rsidR="006B41F5" w:rsidRPr="00DA09B6" w:rsidRDefault="006B41F5" w:rsidP="003F44A4">
            <w:pPr>
              <w:jc w:val="center"/>
              <w:rPr>
                <w:color w:val="000000"/>
                <w:sz w:val="22"/>
                <w:szCs w:val="22"/>
              </w:rPr>
            </w:pPr>
            <w:r w:rsidRPr="00DA09B6">
              <w:rPr>
                <w:color w:val="000000"/>
                <w:sz w:val="22"/>
                <w:szCs w:val="22"/>
              </w:rPr>
              <w:t>Guiglo</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6 983</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1 773</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360</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20%</w:t>
            </w:r>
          </w:p>
        </w:tc>
      </w:tr>
      <w:tr w:rsidR="006B41F5" w:rsidRPr="00DA09B6" w:rsidTr="003F44A4">
        <w:trPr>
          <w:trHeight w:val="432"/>
        </w:trPr>
        <w:tc>
          <w:tcPr>
            <w:tcW w:w="834" w:type="pct"/>
            <w:shd w:val="clear" w:color="auto" w:fill="auto"/>
            <w:vAlign w:val="center"/>
          </w:tcPr>
          <w:p w:rsidR="006B41F5" w:rsidRPr="00DA09B6" w:rsidRDefault="006B41F5" w:rsidP="003F44A4">
            <w:pPr>
              <w:jc w:val="center"/>
              <w:rPr>
                <w:color w:val="000000"/>
                <w:sz w:val="22"/>
                <w:szCs w:val="22"/>
              </w:rPr>
            </w:pPr>
            <w:r w:rsidRPr="00DA09B6">
              <w:rPr>
                <w:color w:val="000000"/>
                <w:sz w:val="22"/>
                <w:szCs w:val="22"/>
              </w:rPr>
              <w:t>Lobo</w:t>
            </w:r>
          </w:p>
        </w:tc>
        <w:tc>
          <w:tcPr>
            <w:tcW w:w="834" w:type="pct"/>
            <w:shd w:val="clear" w:color="auto" w:fill="auto"/>
            <w:vAlign w:val="center"/>
          </w:tcPr>
          <w:p w:rsidR="006B41F5" w:rsidRPr="00DA09B6" w:rsidRDefault="006B41F5" w:rsidP="003F44A4">
            <w:pPr>
              <w:jc w:val="center"/>
              <w:rPr>
                <w:color w:val="000000"/>
                <w:sz w:val="22"/>
                <w:szCs w:val="22"/>
              </w:rPr>
            </w:pPr>
            <w:r w:rsidRPr="00DA09B6">
              <w:rPr>
                <w:color w:val="000000"/>
                <w:sz w:val="22"/>
                <w:szCs w:val="22"/>
              </w:rPr>
              <w:t>Loboville</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12 693</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1 469</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97</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7%</w:t>
            </w:r>
          </w:p>
        </w:tc>
      </w:tr>
      <w:tr w:rsidR="006B41F5" w:rsidRPr="00DA09B6" w:rsidTr="003F44A4">
        <w:trPr>
          <w:trHeight w:val="432"/>
        </w:trPr>
        <w:tc>
          <w:tcPr>
            <w:tcW w:w="834" w:type="pct"/>
            <w:shd w:val="clear" w:color="auto" w:fill="auto"/>
            <w:vAlign w:val="center"/>
          </w:tcPr>
          <w:p w:rsidR="006B41F5" w:rsidRPr="00DA09B6" w:rsidRDefault="006B41F5" w:rsidP="003F44A4">
            <w:pPr>
              <w:jc w:val="center"/>
              <w:rPr>
                <w:color w:val="000000"/>
                <w:sz w:val="22"/>
                <w:szCs w:val="22"/>
              </w:rPr>
            </w:pPr>
            <w:r w:rsidRPr="00DA09B6">
              <w:rPr>
                <w:color w:val="000000"/>
                <w:sz w:val="22"/>
                <w:szCs w:val="22"/>
              </w:rPr>
              <w:t>Davo</w:t>
            </w:r>
          </w:p>
        </w:tc>
        <w:tc>
          <w:tcPr>
            <w:tcW w:w="834" w:type="pct"/>
            <w:shd w:val="clear" w:color="auto" w:fill="auto"/>
            <w:vAlign w:val="center"/>
          </w:tcPr>
          <w:p w:rsidR="006B41F5" w:rsidRPr="00DA09B6" w:rsidRDefault="006B41F5" w:rsidP="003F44A4">
            <w:pPr>
              <w:jc w:val="center"/>
              <w:rPr>
                <w:color w:val="000000"/>
                <w:sz w:val="22"/>
                <w:szCs w:val="22"/>
              </w:rPr>
            </w:pPr>
            <w:r w:rsidRPr="00DA09B6">
              <w:rPr>
                <w:color w:val="000000"/>
                <w:sz w:val="22"/>
                <w:szCs w:val="22"/>
              </w:rPr>
              <w:t>Dakpadou</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6 600</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1 466</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177</w:t>
            </w:r>
          </w:p>
        </w:tc>
        <w:tc>
          <w:tcPr>
            <w:tcW w:w="833" w:type="pct"/>
            <w:vAlign w:val="center"/>
          </w:tcPr>
          <w:p w:rsidR="006B41F5" w:rsidRPr="00DA09B6" w:rsidRDefault="006B41F5" w:rsidP="003F44A4">
            <w:pPr>
              <w:jc w:val="center"/>
              <w:rPr>
                <w:color w:val="000000"/>
                <w:sz w:val="22"/>
                <w:szCs w:val="22"/>
              </w:rPr>
            </w:pPr>
            <w:r w:rsidRPr="00DA09B6">
              <w:rPr>
                <w:color w:val="000000"/>
                <w:sz w:val="22"/>
                <w:szCs w:val="22"/>
              </w:rPr>
              <w:t>12%</w:t>
            </w:r>
          </w:p>
        </w:tc>
      </w:tr>
    </w:tbl>
    <w:p w:rsidR="006B41F5" w:rsidRDefault="006B41F5" w:rsidP="006B41F5">
      <w:pPr>
        <w:jc w:val="both"/>
        <w:rPr>
          <w:sz w:val="22"/>
        </w:rPr>
      </w:pPr>
    </w:p>
    <w:p w:rsidR="006B41F5" w:rsidRDefault="006B41F5">
      <w:pPr>
        <w:rPr>
          <w:sz w:val="22"/>
        </w:rPr>
      </w:pPr>
    </w:p>
    <w:p w:rsidR="00D8443C" w:rsidRDefault="00D8443C">
      <w:pPr>
        <w:rPr>
          <w:sz w:val="22"/>
        </w:rPr>
      </w:pPr>
      <w:r>
        <w:rPr>
          <w:sz w:val="22"/>
        </w:rPr>
        <w:br w:type="page"/>
      </w:r>
    </w:p>
    <w:p w:rsidR="00D8443C" w:rsidRDefault="00D8443C" w:rsidP="00EA66B6">
      <w:pPr>
        <w:jc w:val="both"/>
        <w:rPr>
          <w:sz w:val="22"/>
        </w:rPr>
      </w:pPr>
    </w:p>
    <w:p w:rsidR="0061403F" w:rsidRPr="0061403F" w:rsidRDefault="0061403F" w:rsidP="0061403F">
      <w:pPr>
        <w:pStyle w:val="Lgende"/>
        <w:keepNext/>
        <w:jc w:val="center"/>
        <w:rPr>
          <w:lang w:val="fr-FR"/>
        </w:rPr>
      </w:pPr>
      <w:bookmarkStart w:id="3" w:name="_Ref431314047"/>
      <w:r w:rsidRPr="0061403F">
        <w:rPr>
          <w:lang w:val="fr-FR"/>
        </w:rPr>
        <w:t xml:space="preserve">Tableau </w:t>
      </w:r>
      <w:r>
        <w:fldChar w:fldCharType="begin"/>
      </w:r>
      <w:r w:rsidRPr="0061403F">
        <w:rPr>
          <w:lang w:val="fr-FR"/>
        </w:rPr>
        <w:instrText xml:space="preserve"> SEQ Tableau \* ARABIC </w:instrText>
      </w:r>
      <w:r>
        <w:fldChar w:fldCharType="separate"/>
      </w:r>
      <w:r w:rsidR="00B35F4A">
        <w:rPr>
          <w:noProof/>
          <w:lang w:val="fr-FR"/>
        </w:rPr>
        <w:t>4</w:t>
      </w:r>
      <w:r>
        <w:fldChar w:fldCharType="end"/>
      </w:r>
      <w:bookmarkEnd w:id="3"/>
      <w:r w:rsidRPr="0061403F">
        <w:rPr>
          <w:lang w:val="fr-FR"/>
        </w:rPr>
        <w:t xml:space="preserve"> : Résultats du test de la méthode d</w:t>
      </w:r>
      <w:r>
        <w:rPr>
          <w:lang w:val="fr-FR"/>
        </w:rPr>
        <w:t>e transposition des débits entre les stations hydrométrique</w:t>
      </w:r>
      <w:r w:rsidR="000C5F58">
        <w:rPr>
          <w:lang w:val="fr-FR"/>
        </w:rPr>
        <w:t>s</w:t>
      </w:r>
      <w:r>
        <w:rPr>
          <w:lang w:val="fr-FR"/>
        </w:rPr>
        <w:t xml:space="preserve"> de Semien et Piebli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7"/>
        <w:gridCol w:w="1607"/>
        <w:gridCol w:w="1606"/>
        <w:gridCol w:w="1606"/>
        <w:gridCol w:w="2373"/>
        <w:gridCol w:w="839"/>
      </w:tblGrid>
      <w:tr w:rsidR="0061403F" w:rsidRPr="00DA09B6" w:rsidTr="003F44A4">
        <w:trPr>
          <w:trHeight w:val="288"/>
        </w:trPr>
        <w:tc>
          <w:tcPr>
            <w:tcW w:w="834" w:type="pct"/>
            <w:shd w:val="clear" w:color="auto" w:fill="auto"/>
            <w:vAlign w:val="center"/>
            <w:hideMark/>
          </w:tcPr>
          <w:p w:rsidR="0061403F" w:rsidRPr="00DA09B6" w:rsidRDefault="0061403F" w:rsidP="003F44A4">
            <w:pPr>
              <w:jc w:val="center"/>
              <w:rPr>
                <w:color w:val="000000"/>
                <w:sz w:val="22"/>
                <w:szCs w:val="22"/>
              </w:rPr>
            </w:pPr>
            <w:r w:rsidRPr="00DA09B6">
              <w:rPr>
                <w:color w:val="000000"/>
                <w:sz w:val="22"/>
                <w:szCs w:val="22"/>
              </w:rPr>
              <w:t>Bassin</w:t>
            </w:r>
          </w:p>
        </w:tc>
        <w:tc>
          <w:tcPr>
            <w:tcW w:w="834" w:type="pct"/>
            <w:shd w:val="clear" w:color="auto" w:fill="auto"/>
            <w:vAlign w:val="center"/>
            <w:hideMark/>
          </w:tcPr>
          <w:p w:rsidR="0061403F" w:rsidRPr="00DA09B6" w:rsidRDefault="0061403F" w:rsidP="003F44A4">
            <w:pPr>
              <w:jc w:val="center"/>
              <w:rPr>
                <w:color w:val="000000"/>
                <w:sz w:val="22"/>
                <w:szCs w:val="22"/>
              </w:rPr>
            </w:pPr>
            <w:r w:rsidRPr="00DA09B6">
              <w:rPr>
                <w:color w:val="000000"/>
                <w:sz w:val="22"/>
                <w:szCs w:val="22"/>
              </w:rPr>
              <w:t>Station</w:t>
            </w:r>
          </w:p>
        </w:tc>
        <w:tc>
          <w:tcPr>
            <w:tcW w:w="833" w:type="pct"/>
            <w:vAlign w:val="center"/>
          </w:tcPr>
          <w:p w:rsidR="0061403F" w:rsidRPr="00DA09B6" w:rsidRDefault="0061403F" w:rsidP="003F44A4">
            <w:pPr>
              <w:jc w:val="center"/>
              <w:rPr>
                <w:color w:val="000000"/>
                <w:sz w:val="22"/>
                <w:szCs w:val="22"/>
              </w:rPr>
            </w:pPr>
            <w:r w:rsidRPr="00DA09B6">
              <w:rPr>
                <w:color w:val="000000"/>
                <w:sz w:val="22"/>
                <w:szCs w:val="22"/>
              </w:rPr>
              <w:t>Superficie (km²)</w:t>
            </w:r>
          </w:p>
        </w:tc>
        <w:tc>
          <w:tcPr>
            <w:tcW w:w="833" w:type="pct"/>
            <w:vAlign w:val="center"/>
          </w:tcPr>
          <w:p w:rsidR="0061403F" w:rsidRPr="00DA09B6" w:rsidRDefault="0061403F" w:rsidP="003F44A4">
            <w:pPr>
              <w:jc w:val="center"/>
              <w:rPr>
                <w:color w:val="000000"/>
                <w:sz w:val="22"/>
                <w:szCs w:val="22"/>
              </w:rPr>
            </w:pPr>
            <w:r w:rsidRPr="00DA09B6">
              <w:rPr>
                <w:color w:val="000000"/>
                <w:sz w:val="22"/>
                <w:szCs w:val="22"/>
              </w:rPr>
              <w:t>Pluviométrie moyenne annuelle (mm)</w:t>
            </w:r>
          </w:p>
        </w:tc>
        <w:tc>
          <w:tcPr>
            <w:tcW w:w="1231" w:type="pct"/>
            <w:vAlign w:val="center"/>
          </w:tcPr>
          <w:p w:rsidR="0061403F" w:rsidRPr="00DA09B6" w:rsidRDefault="0061403F" w:rsidP="003F44A4">
            <w:pPr>
              <w:jc w:val="center"/>
              <w:rPr>
                <w:color w:val="000000"/>
                <w:sz w:val="22"/>
                <w:szCs w:val="22"/>
              </w:rPr>
            </w:pPr>
            <w:r w:rsidRPr="00DA09B6">
              <w:rPr>
                <w:color w:val="000000"/>
                <w:sz w:val="22"/>
                <w:szCs w:val="22"/>
              </w:rPr>
              <w:t>Lame d’eau écoulée – cumul sur la période d’observation (mm)</w:t>
            </w:r>
          </w:p>
        </w:tc>
        <w:tc>
          <w:tcPr>
            <w:tcW w:w="435" w:type="pct"/>
            <w:vAlign w:val="center"/>
          </w:tcPr>
          <w:p w:rsidR="0061403F" w:rsidRPr="00DA09B6" w:rsidRDefault="0061403F" w:rsidP="003F44A4">
            <w:pPr>
              <w:jc w:val="center"/>
              <w:rPr>
                <w:color w:val="000000"/>
                <w:sz w:val="22"/>
                <w:szCs w:val="22"/>
              </w:rPr>
            </w:pPr>
            <w:r w:rsidRPr="00DA09B6">
              <w:rPr>
                <w:color w:val="000000"/>
                <w:sz w:val="22"/>
                <w:szCs w:val="22"/>
              </w:rPr>
              <w:t>Nash</w:t>
            </w:r>
          </w:p>
        </w:tc>
      </w:tr>
      <w:tr w:rsidR="0061403F" w:rsidRPr="00DA09B6" w:rsidTr="003F44A4">
        <w:trPr>
          <w:trHeight w:val="432"/>
        </w:trPr>
        <w:tc>
          <w:tcPr>
            <w:tcW w:w="834" w:type="pct"/>
            <w:shd w:val="clear" w:color="auto" w:fill="auto"/>
            <w:vAlign w:val="center"/>
          </w:tcPr>
          <w:p w:rsidR="0061403F" w:rsidRPr="00DA09B6" w:rsidRDefault="0061403F" w:rsidP="003F44A4">
            <w:pPr>
              <w:jc w:val="center"/>
              <w:rPr>
                <w:color w:val="000000"/>
                <w:sz w:val="22"/>
                <w:szCs w:val="22"/>
              </w:rPr>
            </w:pPr>
            <w:r w:rsidRPr="00DA09B6">
              <w:rPr>
                <w:color w:val="000000"/>
                <w:sz w:val="22"/>
                <w:szCs w:val="22"/>
              </w:rPr>
              <w:t>Sassandra</w:t>
            </w:r>
          </w:p>
        </w:tc>
        <w:tc>
          <w:tcPr>
            <w:tcW w:w="834" w:type="pct"/>
            <w:shd w:val="clear" w:color="auto" w:fill="auto"/>
            <w:vAlign w:val="center"/>
          </w:tcPr>
          <w:p w:rsidR="0061403F" w:rsidRPr="00DA09B6" w:rsidRDefault="0061403F" w:rsidP="003F44A4">
            <w:pPr>
              <w:jc w:val="center"/>
              <w:rPr>
                <w:color w:val="000000"/>
                <w:sz w:val="22"/>
                <w:szCs w:val="22"/>
              </w:rPr>
            </w:pPr>
            <w:r w:rsidRPr="00DA09B6">
              <w:rPr>
                <w:color w:val="000000"/>
                <w:sz w:val="22"/>
                <w:szCs w:val="22"/>
              </w:rPr>
              <w:t>Semien</w:t>
            </w:r>
          </w:p>
        </w:tc>
        <w:tc>
          <w:tcPr>
            <w:tcW w:w="833" w:type="pct"/>
            <w:vAlign w:val="center"/>
          </w:tcPr>
          <w:p w:rsidR="0061403F" w:rsidRPr="00DA09B6" w:rsidRDefault="0061403F" w:rsidP="003F44A4">
            <w:pPr>
              <w:jc w:val="center"/>
              <w:rPr>
                <w:color w:val="000000"/>
                <w:sz w:val="22"/>
                <w:szCs w:val="22"/>
              </w:rPr>
            </w:pPr>
            <w:r w:rsidRPr="00DA09B6">
              <w:rPr>
                <w:color w:val="000000"/>
                <w:sz w:val="22"/>
                <w:szCs w:val="22"/>
              </w:rPr>
              <w:t>29 757</w:t>
            </w:r>
          </w:p>
        </w:tc>
        <w:tc>
          <w:tcPr>
            <w:tcW w:w="833" w:type="pct"/>
            <w:vAlign w:val="center"/>
          </w:tcPr>
          <w:p w:rsidR="0061403F" w:rsidRPr="00DA09B6" w:rsidRDefault="0061403F" w:rsidP="003F44A4">
            <w:pPr>
              <w:jc w:val="center"/>
              <w:rPr>
                <w:color w:val="000000"/>
                <w:sz w:val="22"/>
                <w:szCs w:val="22"/>
              </w:rPr>
            </w:pPr>
            <w:r w:rsidRPr="00DA09B6">
              <w:rPr>
                <w:color w:val="000000"/>
                <w:sz w:val="22"/>
                <w:szCs w:val="22"/>
              </w:rPr>
              <w:t>1 590</w:t>
            </w:r>
          </w:p>
        </w:tc>
        <w:tc>
          <w:tcPr>
            <w:tcW w:w="1231" w:type="pct"/>
            <w:vAlign w:val="center"/>
          </w:tcPr>
          <w:p w:rsidR="0061403F" w:rsidRPr="00DA09B6" w:rsidRDefault="0061403F" w:rsidP="003F44A4">
            <w:pPr>
              <w:jc w:val="center"/>
              <w:rPr>
                <w:color w:val="000000"/>
                <w:sz w:val="22"/>
                <w:szCs w:val="22"/>
              </w:rPr>
            </w:pPr>
            <w:r w:rsidRPr="00DA09B6">
              <w:rPr>
                <w:color w:val="000000"/>
                <w:sz w:val="22"/>
                <w:szCs w:val="22"/>
              </w:rPr>
              <w:t>5 154</w:t>
            </w:r>
          </w:p>
        </w:tc>
        <w:tc>
          <w:tcPr>
            <w:tcW w:w="435" w:type="pct"/>
            <w:vAlign w:val="center"/>
          </w:tcPr>
          <w:p w:rsidR="0061403F" w:rsidRPr="00DA09B6" w:rsidRDefault="0061403F" w:rsidP="003F44A4">
            <w:pPr>
              <w:jc w:val="center"/>
              <w:rPr>
                <w:color w:val="000000"/>
                <w:sz w:val="22"/>
                <w:szCs w:val="22"/>
              </w:rPr>
            </w:pPr>
            <w:r w:rsidRPr="00DA09B6">
              <w:rPr>
                <w:color w:val="000000"/>
                <w:sz w:val="22"/>
                <w:szCs w:val="22"/>
              </w:rPr>
              <w:t>-</w:t>
            </w:r>
          </w:p>
        </w:tc>
      </w:tr>
      <w:tr w:rsidR="0061403F" w:rsidRPr="00DA09B6" w:rsidTr="003F44A4">
        <w:trPr>
          <w:trHeight w:val="432"/>
        </w:trPr>
        <w:tc>
          <w:tcPr>
            <w:tcW w:w="834" w:type="pct"/>
            <w:shd w:val="clear" w:color="auto" w:fill="auto"/>
            <w:vAlign w:val="center"/>
          </w:tcPr>
          <w:p w:rsidR="0061403F" w:rsidRPr="00DA09B6" w:rsidRDefault="0061403F" w:rsidP="003F44A4">
            <w:pPr>
              <w:jc w:val="center"/>
              <w:rPr>
                <w:color w:val="000000"/>
                <w:sz w:val="22"/>
                <w:szCs w:val="22"/>
              </w:rPr>
            </w:pPr>
            <w:r w:rsidRPr="00DA09B6">
              <w:rPr>
                <w:color w:val="000000"/>
                <w:sz w:val="22"/>
                <w:szCs w:val="22"/>
              </w:rPr>
              <w:t>Sassandra</w:t>
            </w:r>
          </w:p>
        </w:tc>
        <w:tc>
          <w:tcPr>
            <w:tcW w:w="834" w:type="pct"/>
            <w:shd w:val="clear" w:color="auto" w:fill="auto"/>
            <w:vAlign w:val="center"/>
          </w:tcPr>
          <w:p w:rsidR="0061403F" w:rsidRPr="00DA09B6" w:rsidRDefault="0061403F" w:rsidP="003F44A4">
            <w:pPr>
              <w:jc w:val="center"/>
              <w:rPr>
                <w:color w:val="000000"/>
                <w:sz w:val="22"/>
                <w:szCs w:val="22"/>
              </w:rPr>
            </w:pPr>
            <w:r w:rsidRPr="00DA09B6">
              <w:rPr>
                <w:color w:val="000000"/>
                <w:sz w:val="22"/>
                <w:szCs w:val="22"/>
              </w:rPr>
              <w:t>Piebli (observé)</w:t>
            </w:r>
          </w:p>
        </w:tc>
        <w:tc>
          <w:tcPr>
            <w:tcW w:w="833" w:type="pct"/>
            <w:vAlign w:val="center"/>
          </w:tcPr>
          <w:p w:rsidR="0061403F" w:rsidRPr="00DA09B6" w:rsidRDefault="0061403F" w:rsidP="003F44A4">
            <w:pPr>
              <w:jc w:val="center"/>
              <w:rPr>
                <w:color w:val="000000"/>
                <w:sz w:val="22"/>
                <w:szCs w:val="22"/>
              </w:rPr>
            </w:pPr>
            <w:r w:rsidRPr="00DA09B6">
              <w:rPr>
                <w:color w:val="000000"/>
                <w:sz w:val="22"/>
                <w:szCs w:val="22"/>
              </w:rPr>
              <w:t>32 462</w:t>
            </w:r>
          </w:p>
        </w:tc>
        <w:tc>
          <w:tcPr>
            <w:tcW w:w="833" w:type="pct"/>
            <w:vAlign w:val="center"/>
          </w:tcPr>
          <w:p w:rsidR="0061403F" w:rsidRPr="00DA09B6" w:rsidRDefault="0061403F" w:rsidP="003F44A4">
            <w:pPr>
              <w:jc w:val="center"/>
              <w:rPr>
                <w:color w:val="000000"/>
                <w:sz w:val="22"/>
                <w:szCs w:val="22"/>
              </w:rPr>
            </w:pPr>
            <w:r w:rsidRPr="00DA09B6">
              <w:rPr>
                <w:color w:val="000000"/>
                <w:sz w:val="22"/>
                <w:szCs w:val="22"/>
              </w:rPr>
              <w:t>1 570</w:t>
            </w:r>
          </w:p>
        </w:tc>
        <w:tc>
          <w:tcPr>
            <w:tcW w:w="1231" w:type="pct"/>
            <w:vAlign w:val="center"/>
          </w:tcPr>
          <w:p w:rsidR="0061403F" w:rsidRPr="00DA09B6" w:rsidRDefault="0061403F" w:rsidP="003F44A4">
            <w:pPr>
              <w:jc w:val="center"/>
              <w:rPr>
                <w:color w:val="000000"/>
                <w:sz w:val="22"/>
                <w:szCs w:val="22"/>
              </w:rPr>
            </w:pPr>
            <w:r w:rsidRPr="00DA09B6">
              <w:rPr>
                <w:color w:val="000000"/>
                <w:sz w:val="22"/>
                <w:szCs w:val="22"/>
              </w:rPr>
              <w:t>5 066</w:t>
            </w:r>
          </w:p>
        </w:tc>
        <w:tc>
          <w:tcPr>
            <w:tcW w:w="435" w:type="pct"/>
            <w:vAlign w:val="center"/>
          </w:tcPr>
          <w:p w:rsidR="0061403F" w:rsidRPr="00DA09B6" w:rsidRDefault="0061403F" w:rsidP="003F44A4">
            <w:pPr>
              <w:jc w:val="center"/>
              <w:rPr>
                <w:color w:val="000000"/>
                <w:sz w:val="22"/>
                <w:szCs w:val="22"/>
              </w:rPr>
            </w:pPr>
            <w:r w:rsidRPr="00DA09B6">
              <w:rPr>
                <w:color w:val="000000"/>
                <w:sz w:val="22"/>
                <w:szCs w:val="22"/>
              </w:rPr>
              <w:t>-</w:t>
            </w:r>
          </w:p>
        </w:tc>
      </w:tr>
      <w:tr w:rsidR="0061403F" w:rsidRPr="00DA09B6" w:rsidTr="003F44A4">
        <w:trPr>
          <w:trHeight w:val="432"/>
        </w:trPr>
        <w:tc>
          <w:tcPr>
            <w:tcW w:w="834" w:type="pct"/>
            <w:shd w:val="clear" w:color="auto" w:fill="auto"/>
            <w:vAlign w:val="center"/>
          </w:tcPr>
          <w:p w:rsidR="0061403F" w:rsidRPr="00DA09B6" w:rsidRDefault="0061403F" w:rsidP="003F44A4">
            <w:pPr>
              <w:jc w:val="center"/>
              <w:rPr>
                <w:color w:val="000000"/>
                <w:sz w:val="22"/>
                <w:szCs w:val="22"/>
              </w:rPr>
            </w:pPr>
            <w:r w:rsidRPr="00DA09B6">
              <w:rPr>
                <w:color w:val="000000"/>
                <w:sz w:val="22"/>
                <w:szCs w:val="22"/>
              </w:rPr>
              <w:t>Sassandra</w:t>
            </w:r>
          </w:p>
        </w:tc>
        <w:tc>
          <w:tcPr>
            <w:tcW w:w="834" w:type="pct"/>
            <w:shd w:val="clear" w:color="auto" w:fill="auto"/>
            <w:vAlign w:val="center"/>
          </w:tcPr>
          <w:p w:rsidR="0061403F" w:rsidRPr="00DA09B6" w:rsidRDefault="0061403F" w:rsidP="003F44A4">
            <w:pPr>
              <w:jc w:val="center"/>
              <w:rPr>
                <w:color w:val="000000"/>
                <w:sz w:val="22"/>
                <w:szCs w:val="22"/>
              </w:rPr>
            </w:pPr>
            <w:r w:rsidRPr="00DA09B6">
              <w:rPr>
                <w:color w:val="000000"/>
                <w:sz w:val="22"/>
                <w:szCs w:val="22"/>
              </w:rPr>
              <w:t>Piebli (estimé)</w:t>
            </w:r>
          </w:p>
        </w:tc>
        <w:tc>
          <w:tcPr>
            <w:tcW w:w="833" w:type="pct"/>
            <w:vAlign w:val="center"/>
          </w:tcPr>
          <w:p w:rsidR="0061403F" w:rsidRPr="00DA09B6" w:rsidRDefault="0061403F" w:rsidP="003F44A4">
            <w:pPr>
              <w:jc w:val="center"/>
              <w:rPr>
                <w:color w:val="000000"/>
                <w:sz w:val="22"/>
                <w:szCs w:val="22"/>
              </w:rPr>
            </w:pPr>
            <w:r w:rsidRPr="00DA09B6">
              <w:rPr>
                <w:color w:val="000000"/>
                <w:sz w:val="22"/>
                <w:szCs w:val="22"/>
              </w:rPr>
              <w:t>32 462</w:t>
            </w:r>
          </w:p>
        </w:tc>
        <w:tc>
          <w:tcPr>
            <w:tcW w:w="833" w:type="pct"/>
            <w:vAlign w:val="center"/>
          </w:tcPr>
          <w:p w:rsidR="0061403F" w:rsidRPr="00DA09B6" w:rsidRDefault="0061403F" w:rsidP="003F44A4">
            <w:pPr>
              <w:jc w:val="center"/>
              <w:rPr>
                <w:color w:val="000000"/>
                <w:sz w:val="22"/>
                <w:szCs w:val="22"/>
              </w:rPr>
            </w:pPr>
            <w:r w:rsidRPr="00DA09B6">
              <w:rPr>
                <w:color w:val="000000"/>
                <w:sz w:val="22"/>
                <w:szCs w:val="22"/>
              </w:rPr>
              <w:t>1 570</w:t>
            </w:r>
          </w:p>
        </w:tc>
        <w:tc>
          <w:tcPr>
            <w:tcW w:w="1231" w:type="pct"/>
            <w:vAlign w:val="center"/>
          </w:tcPr>
          <w:p w:rsidR="0061403F" w:rsidRPr="00DA09B6" w:rsidRDefault="0061403F" w:rsidP="003F44A4">
            <w:pPr>
              <w:jc w:val="center"/>
              <w:rPr>
                <w:color w:val="000000"/>
                <w:sz w:val="22"/>
                <w:szCs w:val="22"/>
              </w:rPr>
            </w:pPr>
            <w:r w:rsidRPr="00DA09B6">
              <w:rPr>
                <w:color w:val="000000"/>
                <w:sz w:val="22"/>
                <w:szCs w:val="22"/>
              </w:rPr>
              <w:t>5 089</w:t>
            </w:r>
          </w:p>
        </w:tc>
        <w:tc>
          <w:tcPr>
            <w:tcW w:w="435" w:type="pct"/>
            <w:vAlign w:val="center"/>
          </w:tcPr>
          <w:p w:rsidR="0061403F" w:rsidRPr="00DA09B6" w:rsidRDefault="0061403F" w:rsidP="003F44A4">
            <w:pPr>
              <w:jc w:val="center"/>
              <w:rPr>
                <w:color w:val="000000"/>
                <w:sz w:val="22"/>
                <w:szCs w:val="22"/>
              </w:rPr>
            </w:pPr>
            <w:r w:rsidRPr="00DA09B6">
              <w:rPr>
                <w:color w:val="000000"/>
                <w:sz w:val="22"/>
                <w:szCs w:val="22"/>
              </w:rPr>
              <w:t>99.7</w:t>
            </w:r>
          </w:p>
        </w:tc>
      </w:tr>
    </w:tbl>
    <w:p w:rsidR="0061403F" w:rsidRDefault="0061403F" w:rsidP="00EA66B6">
      <w:pPr>
        <w:jc w:val="both"/>
        <w:rPr>
          <w:sz w:val="22"/>
        </w:rPr>
      </w:pPr>
    </w:p>
    <w:p w:rsidR="0061403F" w:rsidRDefault="0061403F">
      <w:pPr>
        <w:rPr>
          <w:sz w:val="22"/>
        </w:rPr>
      </w:pPr>
      <w:r>
        <w:rPr>
          <w:sz w:val="22"/>
        </w:rPr>
        <w:br w:type="page"/>
      </w:r>
      <w:bookmarkStart w:id="4" w:name="_GoBack"/>
      <w:bookmarkEnd w:id="4"/>
    </w:p>
    <w:p w:rsidR="003A4033" w:rsidRPr="003A4033" w:rsidRDefault="003A4033" w:rsidP="003A4033">
      <w:pPr>
        <w:pStyle w:val="Lgende"/>
        <w:keepNext/>
        <w:jc w:val="center"/>
        <w:rPr>
          <w:lang w:val="fr-FR"/>
        </w:rPr>
      </w:pPr>
      <w:bookmarkStart w:id="5" w:name="_Ref431313478"/>
      <w:r w:rsidRPr="003A4033">
        <w:rPr>
          <w:lang w:val="fr-FR"/>
        </w:rPr>
        <w:lastRenderedPageBreak/>
        <w:t xml:space="preserve">Tableau </w:t>
      </w:r>
      <w:r>
        <w:fldChar w:fldCharType="begin"/>
      </w:r>
      <w:r w:rsidRPr="003A4033">
        <w:rPr>
          <w:lang w:val="fr-FR"/>
        </w:rPr>
        <w:instrText xml:space="preserve"> SEQ Tableau \* ARABIC </w:instrText>
      </w:r>
      <w:r>
        <w:fldChar w:fldCharType="separate"/>
      </w:r>
      <w:r w:rsidR="00B35F4A">
        <w:rPr>
          <w:noProof/>
          <w:lang w:val="fr-FR"/>
        </w:rPr>
        <w:t>5</w:t>
      </w:r>
      <w:r>
        <w:fldChar w:fldCharType="end"/>
      </w:r>
      <w:bookmarkEnd w:id="5"/>
      <w:r w:rsidRPr="003A4033">
        <w:rPr>
          <w:lang w:val="fr-FR"/>
        </w:rPr>
        <w:t xml:space="preserve"> : Mode de calcul pour l’estimation des séries mensuelles des débits aux sous-bassins versants du modèle de gestion </w:t>
      </w:r>
      <w:r>
        <w:rPr>
          <w:lang w:val="fr-FR"/>
        </w:rPr>
        <w:t>intégrée</w:t>
      </w:r>
      <w:r w:rsidRPr="003A4033">
        <w:rPr>
          <w:lang w:val="fr-FR"/>
        </w:rPr>
        <w:t xml:space="preserve"> du bassin du Sassandra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8"/>
        <w:gridCol w:w="1082"/>
        <w:gridCol w:w="1349"/>
        <w:gridCol w:w="3873"/>
        <w:gridCol w:w="1556"/>
      </w:tblGrid>
      <w:tr w:rsidR="003A4033" w:rsidRPr="00DA09B6" w:rsidTr="003F44A4">
        <w:trPr>
          <w:trHeight w:val="288"/>
        </w:trPr>
        <w:tc>
          <w:tcPr>
            <w:tcW w:w="922" w:type="pct"/>
            <w:shd w:val="clear" w:color="auto" w:fill="auto"/>
            <w:vAlign w:val="center"/>
            <w:hideMark/>
          </w:tcPr>
          <w:p w:rsidR="003A4033" w:rsidRPr="00DA09B6" w:rsidRDefault="003A4033" w:rsidP="003F44A4">
            <w:pPr>
              <w:jc w:val="center"/>
              <w:rPr>
                <w:color w:val="000000"/>
                <w:sz w:val="22"/>
                <w:szCs w:val="22"/>
              </w:rPr>
            </w:pPr>
            <w:r>
              <w:rPr>
                <w:color w:val="000000"/>
                <w:sz w:val="22"/>
                <w:szCs w:val="22"/>
              </w:rPr>
              <w:t>Sous-bass</w:t>
            </w:r>
            <w:r w:rsidRPr="00DA09B6">
              <w:rPr>
                <w:color w:val="000000"/>
                <w:sz w:val="22"/>
                <w:szCs w:val="22"/>
              </w:rPr>
              <w:t>in versant</w:t>
            </w:r>
          </w:p>
        </w:tc>
        <w:tc>
          <w:tcPr>
            <w:tcW w:w="561" w:type="pct"/>
            <w:vAlign w:val="center"/>
          </w:tcPr>
          <w:p w:rsidR="003A4033" w:rsidRPr="00DA09B6" w:rsidRDefault="003A4033" w:rsidP="003F44A4">
            <w:pPr>
              <w:jc w:val="center"/>
              <w:rPr>
                <w:color w:val="000000"/>
                <w:sz w:val="22"/>
                <w:szCs w:val="22"/>
              </w:rPr>
            </w:pPr>
            <w:r w:rsidRPr="00DA09B6">
              <w:rPr>
                <w:color w:val="000000"/>
                <w:sz w:val="22"/>
                <w:szCs w:val="22"/>
              </w:rPr>
              <w:t>Superficie (km²)</w:t>
            </w:r>
          </w:p>
        </w:tc>
        <w:tc>
          <w:tcPr>
            <w:tcW w:w="700" w:type="pct"/>
            <w:vAlign w:val="center"/>
          </w:tcPr>
          <w:p w:rsidR="003A4033" w:rsidRPr="00DA09B6" w:rsidRDefault="003A4033" w:rsidP="003F44A4">
            <w:pPr>
              <w:jc w:val="center"/>
              <w:rPr>
                <w:color w:val="000000"/>
                <w:sz w:val="22"/>
                <w:szCs w:val="22"/>
              </w:rPr>
            </w:pPr>
            <w:r w:rsidRPr="00DA09B6">
              <w:rPr>
                <w:color w:val="000000"/>
                <w:sz w:val="22"/>
                <w:szCs w:val="22"/>
              </w:rPr>
              <w:t>Pluviométrie moyenne annuelle (mm)</w:t>
            </w:r>
          </w:p>
        </w:tc>
        <w:tc>
          <w:tcPr>
            <w:tcW w:w="2009" w:type="pct"/>
            <w:vAlign w:val="center"/>
          </w:tcPr>
          <w:p w:rsidR="003A4033" w:rsidRPr="00DA09B6" w:rsidRDefault="003A4033" w:rsidP="003F44A4">
            <w:pPr>
              <w:jc w:val="center"/>
              <w:rPr>
                <w:color w:val="000000"/>
                <w:sz w:val="22"/>
                <w:szCs w:val="22"/>
              </w:rPr>
            </w:pPr>
            <w:r w:rsidRPr="00DA09B6">
              <w:rPr>
                <w:color w:val="000000"/>
                <w:sz w:val="22"/>
                <w:szCs w:val="22"/>
              </w:rPr>
              <w:t>Mode de calcul</w:t>
            </w:r>
          </w:p>
        </w:tc>
        <w:tc>
          <w:tcPr>
            <w:tcW w:w="807" w:type="pct"/>
            <w:vAlign w:val="center"/>
          </w:tcPr>
          <w:p w:rsidR="003A4033" w:rsidRPr="00DA09B6" w:rsidRDefault="003A4033" w:rsidP="003F44A4">
            <w:pPr>
              <w:jc w:val="center"/>
              <w:rPr>
                <w:color w:val="000000"/>
                <w:sz w:val="22"/>
                <w:szCs w:val="22"/>
              </w:rPr>
            </w:pPr>
            <w:r w:rsidRPr="00DA09B6">
              <w:rPr>
                <w:color w:val="000000"/>
                <w:sz w:val="22"/>
                <w:szCs w:val="22"/>
              </w:rPr>
              <w:t>Station hydrométrique de référence</w:t>
            </w:r>
          </w:p>
        </w:tc>
      </w:tr>
      <w:tr w:rsidR="003A4033" w:rsidRPr="00DA09B6" w:rsidTr="003F44A4">
        <w:trPr>
          <w:trHeight w:val="576"/>
        </w:trPr>
        <w:tc>
          <w:tcPr>
            <w:tcW w:w="922" w:type="pct"/>
            <w:shd w:val="clear" w:color="auto" w:fill="auto"/>
            <w:vAlign w:val="center"/>
          </w:tcPr>
          <w:p w:rsidR="003A4033" w:rsidRPr="00DA09B6" w:rsidRDefault="003A4033" w:rsidP="003F44A4">
            <w:pPr>
              <w:jc w:val="center"/>
              <w:rPr>
                <w:color w:val="000000"/>
                <w:sz w:val="22"/>
                <w:szCs w:val="22"/>
              </w:rPr>
            </w:pPr>
            <w:r w:rsidRPr="00DA09B6">
              <w:rPr>
                <w:color w:val="000000"/>
                <w:sz w:val="22"/>
                <w:szCs w:val="22"/>
              </w:rPr>
              <w:t>Gao</w:t>
            </w:r>
          </w:p>
        </w:tc>
        <w:tc>
          <w:tcPr>
            <w:tcW w:w="561" w:type="pct"/>
            <w:vAlign w:val="center"/>
          </w:tcPr>
          <w:p w:rsidR="003A4033" w:rsidRPr="00DA09B6" w:rsidRDefault="003A4033" w:rsidP="003F44A4">
            <w:pPr>
              <w:jc w:val="center"/>
              <w:rPr>
                <w:color w:val="000000"/>
                <w:sz w:val="22"/>
                <w:szCs w:val="22"/>
              </w:rPr>
            </w:pPr>
            <w:r w:rsidRPr="00DA09B6">
              <w:rPr>
                <w:color w:val="000000"/>
                <w:sz w:val="22"/>
                <w:szCs w:val="22"/>
              </w:rPr>
              <w:t>8 067</w:t>
            </w:r>
          </w:p>
        </w:tc>
        <w:tc>
          <w:tcPr>
            <w:tcW w:w="700" w:type="pct"/>
            <w:vAlign w:val="center"/>
          </w:tcPr>
          <w:p w:rsidR="003A4033" w:rsidRPr="00DA09B6" w:rsidRDefault="003A4033" w:rsidP="003F44A4">
            <w:pPr>
              <w:jc w:val="center"/>
              <w:rPr>
                <w:color w:val="000000"/>
                <w:sz w:val="22"/>
                <w:szCs w:val="22"/>
              </w:rPr>
            </w:pPr>
            <w:r w:rsidRPr="00DA09B6">
              <w:rPr>
                <w:color w:val="000000"/>
                <w:sz w:val="22"/>
                <w:szCs w:val="22"/>
              </w:rPr>
              <w:t>1 709</w:t>
            </w:r>
          </w:p>
        </w:tc>
        <w:tc>
          <w:tcPr>
            <w:tcW w:w="2009" w:type="pct"/>
            <w:vAlign w:val="center"/>
          </w:tcPr>
          <w:p w:rsidR="003A4033" w:rsidRPr="00DA09B6" w:rsidRDefault="003A4033" w:rsidP="003F44A4">
            <w:pPr>
              <w:jc w:val="center"/>
              <w:rPr>
                <w:color w:val="000000"/>
                <w:sz w:val="22"/>
                <w:szCs w:val="22"/>
              </w:rPr>
            </w:pPr>
            <w:r w:rsidRPr="00DA09B6">
              <w:rPr>
                <w:color w:val="000000"/>
                <w:sz w:val="22"/>
                <w:szCs w:val="22"/>
              </w:rPr>
              <w:t>Méthode de transposition</w:t>
            </w:r>
          </w:p>
        </w:tc>
        <w:tc>
          <w:tcPr>
            <w:tcW w:w="807" w:type="pct"/>
            <w:vAlign w:val="center"/>
          </w:tcPr>
          <w:p w:rsidR="003A4033" w:rsidRPr="00DA09B6" w:rsidRDefault="003A4033" w:rsidP="003F44A4">
            <w:pPr>
              <w:jc w:val="center"/>
              <w:rPr>
                <w:color w:val="000000"/>
                <w:sz w:val="22"/>
                <w:szCs w:val="22"/>
              </w:rPr>
            </w:pPr>
            <w:r w:rsidRPr="00DA09B6">
              <w:rPr>
                <w:color w:val="000000"/>
                <w:sz w:val="22"/>
                <w:szCs w:val="22"/>
              </w:rPr>
              <w:t>Bafingdala</w:t>
            </w:r>
          </w:p>
        </w:tc>
      </w:tr>
      <w:tr w:rsidR="003A4033" w:rsidRPr="00DA09B6" w:rsidTr="003F44A4">
        <w:trPr>
          <w:trHeight w:val="994"/>
        </w:trPr>
        <w:tc>
          <w:tcPr>
            <w:tcW w:w="922" w:type="pct"/>
            <w:shd w:val="clear" w:color="auto" w:fill="auto"/>
            <w:vAlign w:val="center"/>
          </w:tcPr>
          <w:p w:rsidR="003A4033" w:rsidRPr="00DA09B6" w:rsidRDefault="003A4033" w:rsidP="003F44A4">
            <w:pPr>
              <w:jc w:val="center"/>
              <w:rPr>
                <w:color w:val="000000"/>
                <w:sz w:val="22"/>
                <w:szCs w:val="22"/>
              </w:rPr>
            </w:pPr>
            <w:r w:rsidRPr="00DA09B6">
              <w:rPr>
                <w:color w:val="000000"/>
                <w:sz w:val="22"/>
                <w:szCs w:val="22"/>
              </w:rPr>
              <w:t>BVI Gao Koulikoro</w:t>
            </w:r>
          </w:p>
        </w:tc>
        <w:tc>
          <w:tcPr>
            <w:tcW w:w="561" w:type="pct"/>
            <w:vAlign w:val="center"/>
          </w:tcPr>
          <w:p w:rsidR="003A4033" w:rsidRPr="00DA09B6" w:rsidRDefault="003A4033" w:rsidP="003F44A4">
            <w:pPr>
              <w:jc w:val="center"/>
              <w:rPr>
                <w:color w:val="000000"/>
                <w:sz w:val="22"/>
                <w:szCs w:val="22"/>
              </w:rPr>
            </w:pPr>
            <w:r w:rsidRPr="00DA09B6">
              <w:rPr>
                <w:color w:val="000000"/>
                <w:sz w:val="22"/>
                <w:szCs w:val="22"/>
              </w:rPr>
              <w:t>758</w:t>
            </w:r>
          </w:p>
        </w:tc>
        <w:tc>
          <w:tcPr>
            <w:tcW w:w="700" w:type="pct"/>
            <w:vAlign w:val="center"/>
          </w:tcPr>
          <w:p w:rsidR="003A4033" w:rsidRPr="00DA09B6" w:rsidRDefault="003A4033" w:rsidP="003F44A4">
            <w:pPr>
              <w:jc w:val="center"/>
              <w:rPr>
                <w:color w:val="000000"/>
                <w:sz w:val="22"/>
                <w:szCs w:val="22"/>
              </w:rPr>
            </w:pPr>
            <w:r w:rsidRPr="00DA09B6">
              <w:rPr>
                <w:color w:val="000000"/>
                <w:sz w:val="22"/>
                <w:szCs w:val="22"/>
              </w:rPr>
              <w:t>1 395</w:t>
            </w:r>
          </w:p>
        </w:tc>
        <w:tc>
          <w:tcPr>
            <w:tcW w:w="2009" w:type="pct"/>
            <w:vAlign w:val="center"/>
          </w:tcPr>
          <w:p w:rsidR="003A4033" w:rsidRPr="00DA09B6" w:rsidRDefault="003A4033" w:rsidP="003F44A4">
            <w:pPr>
              <w:jc w:val="center"/>
              <w:rPr>
                <w:color w:val="000000"/>
                <w:sz w:val="22"/>
                <w:szCs w:val="22"/>
              </w:rPr>
            </w:pPr>
            <w:r w:rsidRPr="00DA09B6">
              <w:rPr>
                <w:color w:val="000000"/>
                <w:sz w:val="22"/>
                <w:szCs w:val="22"/>
              </w:rPr>
              <w:t>Méthode de transposition pour les apports à Koulikoro, puis différence entre les apports à Koulikoro et les apports à Gao</w:t>
            </w:r>
          </w:p>
        </w:tc>
        <w:tc>
          <w:tcPr>
            <w:tcW w:w="807" w:type="pct"/>
            <w:vAlign w:val="center"/>
          </w:tcPr>
          <w:p w:rsidR="003A4033" w:rsidRPr="00DA09B6" w:rsidRDefault="003A4033" w:rsidP="003F44A4">
            <w:pPr>
              <w:jc w:val="center"/>
              <w:rPr>
                <w:color w:val="000000"/>
                <w:sz w:val="22"/>
                <w:szCs w:val="22"/>
              </w:rPr>
            </w:pPr>
            <w:r w:rsidRPr="00DA09B6">
              <w:rPr>
                <w:color w:val="000000"/>
                <w:sz w:val="22"/>
                <w:szCs w:val="22"/>
              </w:rPr>
              <w:t>Bafingdala</w:t>
            </w:r>
          </w:p>
        </w:tc>
      </w:tr>
      <w:tr w:rsidR="003A4033" w:rsidRPr="00DA09B6" w:rsidTr="003F44A4">
        <w:trPr>
          <w:trHeight w:val="1156"/>
        </w:trPr>
        <w:tc>
          <w:tcPr>
            <w:tcW w:w="922" w:type="pct"/>
            <w:shd w:val="clear" w:color="auto" w:fill="auto"/>
            <w:vAlign w:val="center"/>
          </w:tcPr>
          <w:p w:rsidR="003A4033" w:rsidRPr="00DA09B6" w:rsidRDefault="003A4033" w:rsidP="003F44A4">
            <w:pPr>
              <w:jc w:val="center"/>
              <w:rPr>
                <w:color w:val="000000"/>
                <w:sz w:val="22"/>
                <w:szCs w:val="22"/>
              </w:rPr>
            </w:pPr>
            <w:r w:rsidRPr="00DA09B6">
              <w:rPr>
                <w:color w:val="000000"/>
                <w:sz w:val="22"/>
                <w:szCs w:val="22"/>
              </w:rPr>
              <w:t>BVI Koulikoro Tayaboui</w:t>
            </w:r>
          </w:p>
        </w:tc>
        <w:tc>
          <w:tcPr>
            <w:tcW w:w="561" w:type="pct"/>
            <w:vAlign w:val="center"/>
          </w:tcPr>
          <w:p w:rsidR="003A4033" w:rsidRPr="00DA09B6" w:rsidRDefault="003A4033" w:rsidP="003F44A4">
            <w:pPr>
              <w:jc w:val="center"/>
              <w:rPr>
                <w:color w:val="000000"/>
                <w:sz w:val="22"/>
                <w:szCs w:val="22"/>
              </w:rPr>
            </w:pPr>
            <w:r w:rsidRPr="00DA09B6">
              <w:rPr>
                <w:color w:val="000000"/>
                <w:sz w:val="22"/>
                <w:szCs w:val="22"/>
              </w:rPr>
              <w:t>25 775</w:t>
            </w:r>
          </w:p>
        </w:tc>
        <w:tc>
          <w:tcPr>
            <w:tcW w:w="700" w:type="pct"/>
            <w:vAlign w:val="center"/>
          </w:tcPr>
          <w:p w:rsidR="003A4033" w:rsidRPr="00DA09B6" w:rsidRDefault="003A4033" w:rsidP="003F44A4">
            <w:pPr>
              <w:jc w:val="center"/>
              <w:rPr>
                <w:color w:val="000000"/>
                <w:sz w:val="22"/>
                <w:szCs w:val="22"/>
              </w:rPr>
            </w:pPr>
            <w:r w:rsidRPr="00DA09B6">
              <w:rPr>
                <w:color w:val="000000"/>
                <w:sz w:val="22"/>
                <w:szCs w:val="22"/>
              </w:rPr>
              <w:t>1 510</w:t>
            </w:r>
          </w:p>
        </w:tc>
        <w:tc>
          <w:tcPr>
            <w:tcW w:w="2009" w:type="pct"/>
            <w:vAlign w:val="center"/>
          </w:tcPr>
          <w:p w:rsidR="003A4033" w:rsidRPr="00DA09B6" w:rsidRDefault="003A4033" w:rsidP="003F44A4">
            <w:pPr>
              <w:jc w:val="center"/>
              <w:rPr>
                <w:color w:val="000000"/>
                <w:sz w:val="22"/>
                <w:szCs w:val="22"/>
              </w:rPr>
            </w:pPr>
            <w:r w:rsidRPr="00DA09B6">
              <w:rPr>
                <w:color w:val="000000"/>
                <w:sz w:val="22"/>
                <w:szCs w:val="22"/>
              </w:rPr>
              <w:t>Méthode de transposition pour les apports à Tayaboui, puis différence entre les apports à Tayaboui et les apports à Koulikoro</w:t>
            </w:r>
          </w:p>
        </w:tc>
        <w:tc>
          <w:tcPr>
            <w:tcW w:w="807" w:type="pct"/>
            <w:vAlign w:val="center"/>
          </w:tcPr>
          <w:p w:rsidR="003A4033" w:rsidRPr="00DA09B6" w:rsidRDefault="003A4033" w:rsidP="003F44A4">
            <w:pPr>
              <w:jc w:val="center"/>
              <w:rPr>
                <w:color w:val="000000"/>
                <w:sz w:val="22"/>
                <w:szCs w:val="22"/>
              </w:rPr>
            </w:pPr>
            <w:r w:rsidRPr="00DA09B6">
              <w:rPr>
                <w:color w:val="000000"/>
                <w:sz w:val="22"/>
                <w:szCs w:val="22"/>
              </w:rPr>
              <w:t>Semien</w:t>
            </w:r>
          </w:p>
        </w:tc>
      </w:tr>
      <w:tr w:rsidR="003A4033" w:rsidRPr="00DA09B6" w:rsidTr="003F44A4">
        <w:trPr>
          <w:trHeight w:val="576"/>
        </w:trPr>
        <w:tc>
          <w:tcPr>
            <w:tcW w:w="922" w:type="pct"/>
            <w:shd w:val="clear" w:color="auto" w:fill="auto"/>
            <w:vAlign w:val="center"/>
          </w:tcPr>
          <w:p w:rsidR="003A4033" w:rsidRPr="00DA09B6" w:rsidRDefault="003A4033" w:rsidP="003F44A4">
            <w:pPr>
              <w:jc w:val="center"/>
              <w:rPr>
                <w:color w:val="000000"/>
                <w:sz w:val="22"/>
                <w:szCs w:val="22"/>
              </w:rPr>
            </w:pPr>
            <w:r w:rsidRPr="00DA09B6">
              <w:rPr>
                <w:color w:val="000000"/>
                <w:sz w:val="22"/>
                <w:szCs w:val="22"/>
              </w:rPr>
              <w:t>BVI Tayaboui Buyo</w:t>
            </w:r>
          </w:p>
        </w:tc>
        <w:tc>
          <w:tcPr>
            <w:tcW w:w="561" w:type="pct"/>
            <w:vAlign w:val="center"/>
          </w:tcPr>
          <w:p w:rsidR="003A4033" w:rsidRPr="00DA09B6" w:rsidRDefault="003A4033" w:rsidP="003F44A4">
            <w:pPr>
              <w:jc w:val="center"/>
              <w:rPr>
                <w:color w:val="000000"/>
                <w:sz w:val="22"/>
                <w:szCs w:val="22"/>
              </w:rPr>
            </w:pPr>
            <w:r w:rsidRPr="00DA09B6">
              <w:rPr>
                <w:color w:val="000000"/>
                <w:sz w:val="22"/>
                <w:szCs w:val="22"/>
              </w:rPr>
              <w:t>11 653</w:t>
            </w:r>
          </w:p>
        </w:tc>
        <w:tc>
          <w:tcPr>
            <w:tcW w:w="700" w:type="pct"/>
            <w:vAlign w:val="center"/>
          </w:tcPr>
          <w:p w:rsidR="003A4033" w:rsidRPr="00DA09B6" w:rsidRDefault="003A4033" w:rsidP="003F44A4">
            <w:pPr>
              <w:jc w:val="center"/>
              <w:rPr>
                <w:color w:val="000000"/>
                <w:sz w:val="22"/>
                <w:szCs w:val="22"/>
              </w:rPr>
            </w:pPr>
            <w:r w:rsidRPr="00DA09B6">
              <w:rPr>
                <w:color w:val="000000"/>
                <w:sz w:val="22"/>
                <w:szCs w:val="22"/>
              </w:rPr>
              <w:t>1 651</w:t>
            </w:r>
          </w:p>
        </w:tc>
        <w:tc>
          <w:tcPr>
            <w:tcW w:w="2009" w:type="pct"/>
            <w:vAlign w:val="center"/>
          </w:tcPr>
          <w:p w:rsidR="003A4033" w:rsidRPr="00DA09B6" w:rsidRDefault="003A4033" w:rsidP="003F44A4">
            <w:pPr>
              <w:jc w:val="center"/>
              <w:rPr>
                <w:color w:val="000000"/>
                <w:sz w:val="22"/>
                <w:szCs w:val="22"/>
              </w:rPr>
            </w:pPr>
            <w:r w:rsidRPr="00DA09B6">
              <w:rPr>
                <w:color w:val="000000"/>
                <w:sz w:val="22"/>
                <w:szCs w:val="22"/>
              </w:rPr>
              <w:t>Méthode de transposition</w:t>
            </w:r>
          </w:p>
        </w:tc>
        <w:tc>
          <w:tcPr>
            <w:tcW w:w="807" w:type="pct"/>
            <w:vAlign w:val="center"/>
          </w:tcPr>
          <w:p w:rsidR="003A4033" w:rsidRPr="00DA09B6" w:rsidRDefault="003A4033" w:rsidP="003F44A4">
            <w:pPr>
              <w:jc w:val="center"/>
              <w:rPr>
                <w:color w:val="000000"/>
                <w:sz w:val="22"/>
                <w:szCs w:val="22"/>
              </w:rPr>
            </w:pPr>
            <w:r w:rsidRPr="00DA09B6">
              <w:rPr>
                <w:color w:val="000000"/>
                <w:sz w:val="22"/>
                <w:szCs w:val="22"/>
              </w:rPr>
              <w:t>Guiglo</w:t>
            </w:r>
          </w:p>
        </w:tc>
      </w:tr>
      <w:tr w:rsidR="003A4033" w:rsidRPr="00DA09B6" w:rsidTr="003F44A4">
        <w:trPr>
          <w:trHeight w:val="576"/>
        </w:trPr>
        <w:tc>
          <w:tcPr>
            <w:tcW w:w="922" w:type="pct"/>
            <w:shd w:val="clear" w:color="auto" w:fill="auto"/>
            <w:vAlign w:val="center"/>
          </w:tcPr>
          <w:p w:rsidR="003A4033" w:rsidRPr="00DA09B6" w:rsidRDefault="003A4033" w:rsidP="003F44A4">
            <w:pPr>
              <w:jc w:val="center"/>
              <w:rPr>
                <w:color w:val="000000"/>
                <w:sz w:val="22"/>
                <w:szCs w:val="22"/>
              </w:rPr>
            </w:pPr>
            <w:r w:rsidRPr="00DA09B6">
              <w:rPr>
                <w:color w:val="000000"/>
                <w:sz w:val="22"/>
                <w:szCs w:val="22"/>
              </w:rPr>
              <w:t>BVI Buyo  Soubré</w:t>
            </w:r>
          </w:p>
        </w:tc>
        <w:tc>
          <w:tcPr>
            <w:tcW w:w="561" w:type="pct"/>
            <w:vAlign w:val="center"/>
          </w:tcPr>
          <w:p w:rsidR="003A4033" w:rsidRPr="00DA09B6" w:rsidRDefault="003A4033" w:rsidP="003F44A4">
            <w:pPr>
              <w:jc w:val="center"/>
              <w:rPr>
                <w:color w:val="000000"/>
                <w:sz w:val="22"/>
                <w:szCs w:val="22"/>
              </w:rPr>
            </w:pPr>
            <w:r w:rsidRPr="00DA09B6">
              <w:rPr>
                <w:color w:val="000000"/>
                <w:sz w:val="22"/>
                <w:szCs w:val="22"/>
              </w:rPr>
              <w:t>15 750</w:t>
            </w:r>
          </w:p>
        </w:tc>
        <w:tc>
          <w:tcPr>
            <w:tcW w:w="700" w:type="pct"/>
            <w:vAlign w:val="center"/>
          </w:tcPr>
          <w:p w:rsidR="003A4033" w:rsidRPr="00DA09B6" w:rsidRDefault="003A4033" w:rsidP="003F44A4">
            <w:pPr>
              <w:jc w:val="center"/>
              <w:rPr>
                <w:color w:val="000000"/>
                <w:sz w:val="22"/>
                <w:szCs w:val="22"/>
              </w:rPr>
            </w:pPr>
            <w:r w:rsidRPr="00DA09B6">
              <w:rPr>
                <w:color w:val="000000"/>
                <w:sz w:val="22"/>
                <w:szCs w:val="22"/>
              </w:rPr>
              <w:t>1 475</w:t>
            </w:r>
          </w:p>
        </w:tc>
        <w:tc>
          <w:tcPr>
            <w:tcW w:w="2009" w:type="pct"/>
            <w:vAlign w:val="center"/>
          </w:tcPr>
          <w:p w:rsidR="003A4033" w:rsidRPr="00DA09B6" w:rsidRDefault="003A4033" w:rsidP="003F44A4">
            <w:pPr>
              <w:jc w:val="center"/>
              <w:rPr>
                <w:color w:val="000000"/>
                <w:sz w:val="22"/>
                <w:szCs w:val="22"/>
              </w:rPr>
            </w:pPr>
            <w:r w:rsidRPr="00DA09B6">
              <w:rPr>
                <w:color w:val="000000"/>
                <w:sz w:val="22"/>
                <w:szCs w:val="22"/>
              </w:rPr>
              <w:t>Méthode de transposition</w:t>
            </w:r>
          </w:p>
        </w:tc>
        <w:tc>
          <w:tcPr>
            <w:tcW w:w="807" w:type="pct"/>
            <w:vAlign w:val="center"/>
          </w:tcPr>
          <w:p w:rsidR="003A4033" w:rsidRPr="00DA09B6" w:rsidRDefault="003A4033" w:rsidP="003F44A4">
            <w:pPr>
              <w:jc w:val="center"/>
              <w:rPr>
                <w:color w:val="000000"/>
                <w:sz w:val="22"/>
                <w:szCs w:val="22"/>
              </w:rPr>
            </w:pPr>
            <w:r w:rsidRPr="00DA09B6">
              <w:rPr>
                <w:color w:val="000000"/>
                <w:sz w:val="22"/>
                <w:szCs w:val="22"/>
              </w:rPr>
              <w:t>Loboville</w:t>
            </w:r>
          </w:p>
        </w:tc>
      </w:tr>
      <w:tr w:rsidR="003A4033" w:rsidRPr="00DA09B6" w:rsidTr="003F44A4">
        <w:trPr>
          <w:trHeight w:val="576"/>
        </w:trPr>
        <w:tc>
          <w:tcPr>
            <w:tcW w:w="922" w:type="pct"/>
            <w:shd w:val="clear" w:color="auto" w:fill="auto"/>
            <w:vAlign w:val="center"/>
          </w:tcPr>
          <w:p w:rsidR="003A4033" w:rsidRPr="00DA09B6" w:rsidRDefault="003A4033" w:rsidP="003F44A4">
            <w:pPr>
              <w:jc w:val="center"/>
              <w:rPr>
                <w:color w:val="000000"/>
                <w:sz w:val="22"/>
                <w:szCs w:val="22"/>
              </w:rPr>
            </w:pPr>
            <w:r w:rsidRPr="00DA09B6">
              <w:rPr>
                <w:color w:val="000000"/>
                <w:sz w:val="22"/>
                <w:szCs w:val="22"/>
              </w:rPr>
              <w:t>BVI Soubré Gribo-Popoli</w:t>
            </w:r>
          </w:p>
        </w:tc>
        <w:tc>
          <w:tcPr>
            <w:tcW w:w="561" w:type="pct"/>
            <w:vAlign w:val="center"/>
          </w:tcPr>
          <w:p w:rsidR="003A4033" w:rsidRPr="00DA09B6" w:rsidRDefault="003A4033" w:rsidP="003F44A4">
            <w:pPr>
              <w:jc w:val="center"/>
              <w:rPr>
                <w:color w:val="000000"/>
                <w:sz w:val="22"/>
                <w:szCs w:val="22"/>
              </w:rPr>
            </w:pPr>
            <w:r w:rsidRPr="00DA09B6">
              <w:rPr>
                <w:color w:val="000000"/>
                <w:sz w:val="22"/>
                <w:szCs w:val="22"/>
              </w:rPr>
              <w:t>743</w:t>
            </w:r>
          </w:p>
        </w:tc>
        <w:tc>
          <w:tcPr>
            <w:tcW w:w="700" w:type="pct"/>
            <w:vAlign w:val="center"/>
          </w:tcPr>
          <w:p w:rsidR="003A4033" w:rsidRPr="00DA09B6" w:rsidRDefault="003A4033" w:rsidP="003F44A4">
            <w:pPr>
              <w:jc w:val="center"/>
              <w:rPr>
                <w:color w:val="000000"/>
                <w:sz w:val="22"/>
                <w:szCs w:val="22"/>
              </w:rPr>
            </w:pPr>
            <w:r w:rsidRPr="00DA09B6">
              <w:rPr>
                <w:color w:val="000000"/>
                <w:sz w:val="22"/>
                <w:szCs w:val="22"/>
              </w:rPr>
              <w:t>1 576</w:t>
            </w:r>
          </w:p>
        </w:tc>
        <w:tc>
          <w:tcPr>
            <w:tcW w:w="2009" w:type="pct"/>
            <w:vAlign w:val="center"/>
          </w:tcPr>
          <w:p w:rsidR="003A4033" w:rsidRPr="00DA09B6" w:rsidRDefault="003A4033" w:rsidP="003F44A4">
            <w:pPr>
              <w:jc w:val="center"/>
              <w:rPr>
                <w:color w:val="000000"/>
                <w:sz w:val="22"/>
                <w:szCs w:val="22"/>
              </w:rPr>
            </w:pPr>
            <w:r w:rsidRPr="00DA09B6">
              <w:rPr>
                <w:color w:val="000000"/>
                <w:sz w:val="22"/>
                <w:szCs w:val="22"/>
              </w:rPr>
              <w:t>Méthode de transposition</w:t>
            </w:r>
          </w:p>
        </w:tc>
        <w:tc>
          <w:tcPr>
            <w:tcW w:w="807" w:type="pct"/>
            <w:vAlign w:val="center"/>
          </w:tcPr>
          <w:p w:rsidR="003A4033" w:rsidRPr="00DA09B6" w:rsidRDefault="003A4033" w:rsidP="003F44A4">
            <w:pPr>
              <w:jc w:val="center"/>
              <w:rPr>
                <w:color w:val="000000"/>
                <w:sz w:val="22"/>
                <w:szCs w:val="22"/>
              </w:rPr>
            </w:pPr>
            <w:r w:rsidRPr="00DA09B6">
              <w:rPr>
                <w:color w:val="000000"/>
                <w:sz w:val="22"/>
                <w:szCs w:val="22"/>
              </w:rPr>
              <w:t>Dakpadou</w:t>
            </w:r>
          </w:p>
        </w:tc>
      </w:tr>
      <w:tr w:rsidR="003A4033" w:rsidRPr="00DA09B6" w:rsidTr="003F44A4">
        <w:trPr>
          <w:trHeight w:val="576"/>
        </w:trPr>
        <w:tc>
          <w:tcPr>
            <w:tcW w:w="922" w:type="pct"/>
            <w:shd w:val="clear" w:color="auto" w:fill="auto"/>
            <w:vAlign w:val="center"/>
          </w:tcPr>
          <w:p w:rsidR="003A4033" w:rsidRPr="00DA09B6" w:rsidRDefault="003A4033" w:rsidP="003F44A4">
            <w:pPr>
              <w:jc w:val="center"/>
              <w:rPr>
                <w:color w:val="000000"/>
                <w:sz w:val="22"/>
                <w:szCs w:val="22"/>
              </w:rPr>
            </w:pPr>
            <w:r w:rsidRPr="00DA09B6">
              <w:rPr>
                <w:color w:val="000000"/>
                <w:sz w:val="22"/>
                <w:szCs w:val="22"/>
              </w:rPr>
              <w:t>BVI Gribo-Popoli Boutoubré</w:t>
            </w:r>
          </w:p>
        </w:tc>
        <w:tc>
          <w:tcPr>
            <w:tcW w:w="561" w:type="pct"/>
            <w:vAlign w:val="center"/>
          </w:tcPr>
          <w:p w:rsidR="003A4033" w:rsidRPr="00DA09B6" w:rsidRDefault="003A4033" w:rsidP="003F44A4">
            <w:pPr>
              <w:jc w:val="center"/>
              <w:rPr>
                <w:color w:val="000000"/>
                <w:sz w:val="22"/>
                <w:szCs w:val="22"/>
              </w:rPr>
            </w:pPr>
            <w:r w:rsidRPr="00DA09B6">
              <w:rPr>
                <w:color w:val="000000"/>
                <w:sz w:val="22"/>
                <w:szCs w:val="22"/>
              </w:rPr>
              <w:t>3 167</w:t>
            </w:r>
          </w:p>
        </w:tc>
        <w:tc>
          <w:tcPr>
            <w:tcW w:w="700" w:type="pct"/>
            <w:vAlign w:val="center"/>
          </w:tcPr>
          <w:p w:rsidR="003A4033" w:rsidRPr="00DA09B6" w:rsidRDefault="003A4033" w:rsidP="003F44A4">
            <w:pPr>
              <w:jc w:val="center"/>
              <w:rPr>
                <w:color w:val="000000"/>
                <w:sz w:val="22"/>
                <w:szCs w:val="22"/>
              </w:rPr>
            </w:pPr>
            <w:r w:rsidRPr="00DA09B6">
              <w:rPr>
                <w:color w:val="000000"/>
                <w:sz w:val="22"/>
                <w:szCs w:val="22"/>
              </w:rPr>
              <w:t>1 583</w:t>
            </w:r>
          </w:p>
        </w:tc>
        <w:tc>
          <w:tcPr>
            <w:tcW w:w="2009" w:type="pct"/>
            <w:vAlign w:val="center"/>
          </w:tcPr>
          <w:p w:rsidR="003A4033" w:rsidRPr="00DA09B6" w:rsidRDefault="003A4033" w:rsidP="003F44A4">
            <w:pPr>
              <w:jc w:val="center"/>
              <w:rPr>
                <w:color w:val="000000"/>
                <w:sz w:val="22"/>
                <w:szCs w:val="22"/>
              </w:rPr>
            </w:pPr>
            <w:r w:rsidRPr="00DA09B6">
              <w:rPr>
                <w:color w:val="000000"/>
                <w:sz w:val="22"/>
                <w:szCs w:val="22"/>
              </w:rPr>
              <w:t>Méthode de transposition</w:t>
            </w:r>
          </w:p>
        </w:tc>
        <w:tc>
          <w:tcPr>
            <w:tcW w:w="807" w:type="pct"/>
            <w:vAlign w:val="center"/>
          </w:tcPr>
          <w:p w:rsidR="003A4033" w:rsidRPr="00DA09B6" w:rsidRDefault="003A4033" w:rsidP="003F44A4">
            <w:pPr>
              <w:jc w:val="center"/>
              <w:rPr>
                <w:color w:val="000000"/>
                <w:sz w:val="22"/>
                <w:szCs w:val="22"/>
              </w:rPr>
            </w:pPr>
            <w:r w:rsidRPr="00DA09B6">
              <w:rPr>
                <w:color w:val="000000"/>
                <w:sz w:val="22"/>
                <w:szCs w:val="22"/>
              </w:rPr>
              <w:t>Dakpadou</w:t>
            </w:r>
          </w:p>
        </w:tc>
      </w:tr>
      <w:tr w:rsidR="003A4033" w:rsidRPr="00DA09B6" w:rsidTr="003F44A4">
        <w:trPr>
          <w:trHeight w:val="576"/>
        </w:trPr>
        <w:tc>
          <w:tcPr>
            <w:tcW w:w="922" w:type="pct"/>
            <w:shd w:val="clear" w:color="auto" w:fill="auto"/>
            <w:vAlign w:val="center"/>
          </w:tcPr>
          <w:p w:rsidR="003A4033" w:rsidRPr="00DA09B6" w:rsidRDefault="003A4033" w:rsidP="003F44A4">
            <w:pPr>
              <w:jc w:val="center"/>
              <w:rPr>
                <w:color w:val="000000"/>
                <w:sz w:val="22"/>
                <w:szCs w:val="22"/>
              </w:rPr>
            </w:pPr>
            <w:r w:rsidRPr="00DA09B6">
              <w:rPr>
                <w:color w:val="000000"/>
                <w:sz w:val="22"/>
                <w:szCs w:val="22"/>
              </w:rPr>
              <w:t>BVI Boutoubré Louga</w:t>
            </w:r>
          </w:p>
        </w:tc>
        <w:tc>
          <w:tcPr>
            <w:tcW w:w="561" w:type="pct"/>
            <w:vAlign w:val="center"/>
          </w:tcPr>
          <w:p w:rsidR="003A4033" w:rsidRPr="00DA09B6" w:rsidRDefault="003A4033" w:rsidP="003F44A4">
            <w:pPr>
              <w:jc w:val="center"/>
              <w:rPr>
                <w:color w:val="000000"/>
                <w:sz w:val="22"/>
                <w:szCs w:val="22"/>
              </w:rPr>
            </w:pPr>
            <w:r w:rsidRPr="00DA09B6">
              <w:rPr>
                <w:color w:val="000000"/>
                <w:sz w:val="22"/>
                <w:szCs w:val="22"/>
              </w:rPr>
              <w:t>1 972</w:t>
            </w:r>
          </w:p>
        </w:tc>
        <w:tc>
          <w:tcPr>
            <w:tcW w:w="700" w:type="pct"/>
            <w:vAlign w:val="center"/>
          </w:tcPr>
          <w:p w:rsidR="003A4033" w:rsidRPr="00DA09B6" w:rsidRDefault="003A4033" w:rsidP="003F44A4">
            <w:pPr>
              <w:jc w:val="center"/>
              <w:rPr>
                <w:color w:val="000000"/>
                <w:sz w:val="22"/>
                <w:szCs w:val="22"/>
              </w:rPr>
            </w:pPr>
            <w:r w:rsidRPr="00DA09B6">
              <w:rPr>
                <w:color w:val="000000"/>
                <w:sz w:val="22"/>
                <w:szCs w:val="22"/>
              </w:rPr>
              <w:t>1 641</w:t>
            </w:r>
          </w:p>
        </w:tc>
        <w:tc>
          <w:tcPr>
            <w:tcW w:w="2009" w:type="pct"/>
            <w:vAlign w:val="center"/>
          </w:tcPr>
          <w:p w:rsidR="003A4033" w:rsidRPr="00DA09B6" w:rsidRDefault="003A4033" w:rsidP="003F44A4">
            <w:pPr>
              <w:jc w:val="center"/>
              <w:rPr>
                <w:color w:val="000000"/>
                <w:sz w:val="22"/>
                <w:szCs w:val="22"/>
              </w:rPr>
            </w:pPr>
            <w:r w:rsidRPr="00DA09B6">
              <w:rPr>
                <w:color w:val="000000"/>
                <w:sz w:val="22"/>
                <w:szCs w:val="22"/>
              </w:rPr>
              <w:t>Méthode de transposition</w:t>
            </w:r>
          </w:p>
        </w:tc>
        <w:tc>
          <w:tcPr>
            <w:tcW w:w="807" w:type="pct"/>
            <w:vAlign w:val="center"/>
          </w:tcPr>
          <w:p w:rsidR="003A4033" w:rsidRPr="00DA09B6" w:rsidRDefault="003A4033" w:rsidP="003F44A4">
            <w:pPr>
              <w:jc w:val="center"/>
              <w:rPr>
                <w:color w:val="000000"/>
                <w:sz w:val="22"/>
                <w:szCs w:val="22"/>
              </w:rPr>
            </w:pPr>
            <w:r w:rsidRPr="00DA09B6">
              <w:rPr>
                <w:color w:val="000000"/>
                <w:sz w:val="22"/>
                <w:szCs w:val="22"/>
              </w:rPr>
              <w:t>Dakpadou</w:t>
            </w:r>
          </w:p>
        </w:tc>
      </w:tr>
    </w:tbl>
    <w:p w:rsidR="003A4033" w:rsidRDefault="003A4033" w:rsidP="00EA66B6">
      <w:pPr>
        <w:jc w:val="both"/>
        <w:rPr>
          <w:sz w:val="22"/>
        </w:rPr>
      </w:pPr>
    </w:p>
    <w:p w:rsidR="00D8443C" w:rsidRDefault="00D8443C" w:rsidP="00EA66B6">
      <w:pPr>
        <w:jc w:val="both"/>
        <w:rPr>
          <w:sz w:val="22"/>
        </w:rPr>
      </w:pPr>
    </w:p>
    <w:p w:rsidR="00D8443C" w:rsidRDefault="00D8443C" w:rsidP="00D8443C">
      <w:r>
        <w:br w:type="page"/>
      </w:r>
    </w:p>
    <w:p w:rsidR="00D8443C" w:rsidRDefault="00D8443C" w:rsidP="00EA66B6">
      <w:pPr>
        <w:jc w:val="both"/>
        <w:rPr>
          <w:sz w:val="22"/>
        </w:rPr>
      </w:pPr>
    </w:p>
    <w:p w:rsidR="00584329" w:rsidRDefault="00584329" w:rsidP="00EA66B6">
      <w:pPr>
        <w:jc w:val="both"/>
        <w:rPr>
          <w:sz w:val="22"/>
        </w:rPr>
      </w:pPr>
    </w:p>
    <w:p w:rsidR="00584329" w:rsidRPr="00584329" w:rsidRDefault="00584329" w:rsidP="00584329">
      <w:pPr>
        <w:pStyle w:val="Lgende"/>
        <w:keepNext/>
        <w:jc w:val="center"/>
        <w:rPr>
          <w:lang w:val="fr-FR"/>
        </w:rPr>
      </w:pPr>
      <w:bookmarkStart w:id="6" w:name="_Ref431315232"/>
      <w:r w:rsidRPr="00584329">
        <w:rPr>
          <w:lang w:val="fr-FR"/>
        </w:rPr>
        <w:t xml:space="preserve">Tableau </w:t>
      </w:r>
      <w:r>
        <w:fldChar w:fldCharType="begin"/>
      </w:r>
      <w:r w:rsidRPr="00584329">
        <w:rPr>
          <w:lang w:val="fr-FR"/>
        </w:rPr>
        <w:instrText xml:space="preserve"> SEQ Tableau \* ARABIC </w:instrText>
      </w:r>
      <w:r>
        <w:fldChar w:fldCharType="separate"/>
      </w:r>
      <w:r w:rsidR="00B35F4A">
        <w:rPr>
          <w:noProof/>
          <w:lang w:val="fr-FR"/>
        </w:rPr>
        <w:t>6</w:t>
      </w:r>
      <w:r>
        <w:fldChar w:fldCharType="end"/>
      </w:r>
      <w:bookmarkEnd w:id="6"/>
      <w:r w:rsidRPr="00584329">
        <w:rPr>
          <w:lang w:val="fr-FR"/>
        </w:rPr>
        <w:t xml:space="preserve"> : </w:t>
      </w:r>
      <w:r w:rsidRPr="00D8443C">
        <w:rPr>
          <w:lang w:val="fr-FR"/>
        </w:rPr>
        <w:t xml:space="preserve">Principales caractéristiques hydrologiques des sous-bassins </w:t>
      </w:r>
      <w:r>
        <w:rPr>
          <w:lang w:val="fr-FR"/>
        </w:rPr>
        <w:t>du modèle de gestion intégrée</w:t>
      </w:r>
      <w:r w:rsidRPr="00D8443C">
        <w:rPr>
          <w:lang w:val="fr-FR"/>
        </w:rPr>
        <w:t xml:space="preserve"> sur la période 1954-2013</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4"/>
        <w:gridCol w:w="1570"/>
        <w:gridCol w:w="1571"/>
        <w:gridCol w:w="1571"/>
        <w:gridCol w:w="1571"/>
        <w:gridCol w:w="1569"/>
      </w:tblGrid>
      <w:tr w:rsidR="00584329" w:rsidRPr="00DA09B6" w:rsidTr="003F44A4">
        <w:trPr>
          <w:trHeight w:val="288"/>
        </w:trPr>
        <w:tc>
          <w:tcPr>
            <w:tcW w:w="926" w:type="pct"/>
            <w:shd w:val="clear" w:color="auto" w:fill="auto"/>
            <w:vAlign w:val="center"/>
            <w:hideMark/>
          </w:tcPr>
          <w:p w:rsidR="00584329" w:rsidRPr="00DA09B6" w:rsidRDefault="00584329" w:rsidP="003F44A4">
            <w:pPr>
              <w:jc w:val="center"/>
              <w:rPr>
                <w:color w:val="000000"/>
                <w:sz w:val="22"/>
                <w:szCs w:val="22"/>
              </w:rPr>
            </w:pPr>
            <w:r>
              <w:rPr>
                <w:color w:val="000000"/>
                <w:sz w:val="22"/>
                <w:szCs w:val="22"/>
              </w:rPr>
              <w:t>Sous-bass</w:t>
            </w:r>
            <w:r w:rsidRPr="00DA09B6">
              <w:rPr>
                <w:color w:val="000000"/>
                <w:sz w:val="22"/>
                <w:szCs w:val="22"/>
              </w:rPr>
              <w:t>in versant</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Superficie (km²)</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Pluviométrie moyenne annuelle (mm)</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Lame d’eau écoulée annuelle (mm)</w:t>
            </w:r>
          </w:p>
        </w:tc>
        <w:tc>
          <w:tcPr>
            <w:tcW w:w="815" w:type="pct"/>
          </w:tcPr>
          <w:p w:rsidR="00584329" w:rsidRPr="00DA09B6" w:rsidRDefault="00584329" w:rsidP="003F44A4">
            <w:pPr>
              <w:jc w:val="center"/>
              <w:rPr>
                <w:color w:val="000000"/>
                <w:sz w:val="22"/>
                <w:szCs w:val="22"/>
              </w:rPr>
            </w:pPr>
            <w:r w:rsidRPr="00DA09B6">
              <w:rPr>
                <w:color w:val="000000"/>
                <w:sz w:val="22"/>
                <w:szCs w:val="22"/>
              </w:rPr>
              <w:t>Volume moyen annuel d’apports (millions de m</w:t>
            </w:r>
            <w:r w:rsidRPr="00DA09B6">
              <w:rPr>
                <w:color w:val="000000"/>
                <w:sz w:val="22"/>
                <w:szCs w:val="22"/>
                <w:vertAlign w:val="superscript"/>
              </w:rPr>
              <w:t>3</w:t>
            </w:r>
            <w:r w:rsidRPr="00DA09B6">
              <w:rPr>
                <w:color w:val="000000"/>
                <w:sz w:val="22"/>
                <w:szCs w:val="22"/>
              </w:rPr>
              <w:t>)</w:t>
            </w:r>
          </w:p>
        </w:tc>
        <w:tc>
          <w:tcPr>
            <w:tcW w:w="814" w:type="pct"/>
            <w:vAlign w:val="center"/>
          </w:tcPr>
          <w:p w:rsidR="00584329" w:rsidRPr="00DA09B6" w:rsidRDefault="00584329" w:rsidP="003F44A4">
            <w:pPr>
              <w:jc w:val="center"/>
              <w:rPr>
                <w:color w:val="000000"/>
                <w:sz w:val="22"/>
                <w:szCs w:val="22"/>
              </w:rPr>
            </w:pPr>
            <w:r w:rsidRPr="00DA09B6">
              <w:rPr>
                <w:color w:val="000000"/>
                <w:sz w:val="22"/>
                <w:szCs w:val="22"/>
              </w:rPr>
              <w:t>Coefficient de ruissellement (%)</w:t>
            </w:r>
          </w:p>
        </w:tc>
      </w:tr>
      <w:tr w:rsidR="00584329" w:rsidRPr="00DA09B6" w:rsidTr="003F44A4">
        <w:trPr>
          <w:trHeight w:val="576"/>
        </w:trPr>
        <w:tc>
          <w:tcPr>
            <w:tcW w:w="926" w:type="pct"/>
            <w:shd w:val="clear" w:color="auto" w:fill="auto"/>
            <w:vAlign w:val="center"/>
          </w:tcPr>
          <w:p w:rsidR="00584329" w:rsidRPr="00DA09B6" w:rsidRDefault="00584329" w:rsidP="003F44A4">
            <w:pPr>
              <w:jc w:val="center"/>
              <w:rPr>
                <w:color w:val="000000"/>
                <w:sz w:val="22"/>
                <w:szCs w:val="22"/>
              </w:rPr>
            </w:pPr>
            <w:r w:rsidRPr="00DA09B6">
              <w:rPr>
                <w:color w:val="000000"/>
                <w:sz w:val="22"/>
                <w:szCs w:val="22"/>
              </w:rPr>
              <w:t>Gao</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8 067</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1 709</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314</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2 536</w:t>
            </w:r>
          </w:p>
        </w:tc>
        <w:tc>
          <w:tcPr>
            <w:tcW w:w="814" w:type="pct"/>
            <w:vAlign w:val="center"/>
          </w:tcPr>
          <w:p w:rsidR="00584329" w:rsidRPr="00DA09B6" w:rsidRDefault="00584329" w:rsidP="003F44A4">
            <w:pPr>
              <w:jc w:val="center"/>
              <w:rPr>
                <w:color w:val="000000"/>
                <w:sz w:val="22"/>
                <w:szCs w:val="22"/>
              </w:rPr>
            </w:pPr>
            <w:r w:rsidRPr="00DA09B6">
              <w:rPr>
                <w:color w:val="000000"/>
                <w:sz w:val="22"/>
                <w:szCs w:val="22"/>
              </w:rPr>
              <w:t>18%</w:t>
            </w:r>
          </w:p>
        </w:tc>
      </w:tr>
      <w:tr w:rsidR="00584329" w:rsidRPr="00DA09B6" w:rsidTr="003F44A4">
        <w:trPr>
          <w:trHeight w:val="576"/>
        </w:trPr>
        <w:tc>
          <w:tcPr>
            <w:tcW w:w="926" w:type="pct"/>
            <w:shd w:val="clear" w:color="auto" w:fill="auto"/>
            <w:vAlign w:val="center"/>
          </w:tcPr>
          <w:p w:rsidR="00584329" w:rsidRPr="00DA09B6" w:rsidRDefault="00584329" w:rsidP="003F44A4">
            <w:pPr>
              <w:jc w:val="center"/>
              <w:rPr>
                <w:color w:val="000000"/>
                <w:sz w:val="22"/>
                <w:szCs w:val="22"/>
              </w:rPr>
            </w:pPr>
            <w:r w:rsidRPr="00DA09B6">
              <w:rPr>
                <w:color w:val="000000"/>
                <w:sz w:val="22"/>
                <w:szCs w:val="22"/>
              </w:rPr>
              <w:t>BVI Gao Koulikoro</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758</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1 395</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257</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195</w:t>
            </w:r>
          </w:p>
        </w:tc>
        <w:tc>
          <w:tcPr>
            <w:tcW w:w="814" w:type="pct"/>
            <w:vAlign w:val="center"/>
          </w:tcPr>
          <w:p w:rsidR="00584329" w:rsidRPr="00DA09B6" w:rsidRDefault="00584329" w:rsidP="003F44A4">
            <w:pPr>
              <w:jc w:val="center"/>
              <w:rPr>
                <w:color w:val="000000"/>
                <w:sz w:val="22"/>
                <w:szCs w:val="22"/>
              </w:rPr>
            </w:pPr>
            <w:r w:rsidRPr="00DA09B6">
              <w:rPr>
                <w:color w:val="000000"/>
                <w:sz w:val="22"/>
                <w:szCs w:val="22"/>
              </w:rPr>
              <w:t>18%</w:t>
            </w:r>
          </w:p>
        </w:tc>
      </w:tr>
      <w:tr w:rsidR="00584329" w:rsidRPr="00DA09B6" w:rsidTr="003F44A4">
        <w:trPr>
          <w:trHeight w:val="576"/>
        </w:trPr>
        <w:tc>
          <w:tcPr>
            <w:tcW w:w="926" w:type="pct"/>
            <w:shd w:val="clear" w:color="auto" w:fill="auto"/>
            <w:vAlign w:val="center"/>
          </w:tcPr>
          <w:p w:rsidR="00584329" w:rsidRPr="00DA09B6" w:rsidRDefault="00584329" w:rsidP="003F44A4">
            <w:pPr>
              <w:jc w:val="center"/>
              <w:rPr>
                <w:color w:val="000000"/>
                <w:sz w:val="22"/>
                <w:szCs w:val="22"/>
              </w:rPr>
            </w:pPr>
            <w:r w:rsidRPr="00DA09B6">
              <w:rPr>
                <w:color w:val="000000"/>
                <w:sz w:val="22"/>
                <w:szCs w:val="22"/>
              </w:rPr>
              <w:t>BVI Koulikoro Tayaboui</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25 775</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1 510</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199</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5 125</w:t>
            </w:r>
          </w:p>
        </w:tc>
        <w:tc>
          <w:tcPr>
            <w:tcW w:w="814" w:type="pct"/>
            <w:vAlign w:val="center"/>
          </w:tcPr>
          <w:p w:rsidR="00584329" w:rsidRPr="00DA09B6" w:rsidRDefault="00584329" w:rsidP="003F44A4">
            <w:pPr>
              <w:jc w:val="center"/>
              <w:rPr>
                <w:color w:val="000000"/>
                <w:sz w:val="22"/>
                <w:szCs w:val="22"/>
              </w:rPr>
            </w:pPr>
            <w:r w:rsidRPr="00DA09B6">
              <w:rPr>
                <w:color w:val="000000"/>
                <w:sz w:val="22"/>
                <w:szCs w:val="22"/>
              </w:rPr>
              <w:t>13%</w:t>
            </w:r>
          </w:p>
        </w:tc>
      </w:tr>
      <w:tr w:rsidR="00584329" w:rsidRPr="00DA09B6" w:rsidTr="003F44A4">
        <w:trPr>
          <w:trHeight w:val="576"/>
        </w:trPr>
        <w:tc>
          <w:tcPr>
            <w:tcW w:w="926" w:type="pct"/>
            <w:shd w:val="clear" w:color="auto" w:fill="auto"/>
            <w:vAlign w:val="center"/>
          </w:tcPr>
          <w:p w:rsidR="00584329" w:rsidRPr="00DA09B6" w:rsidRDefault="00584329" w:rsidP="003F44A4">
            <w:pPr>
              <w:jc w:val="center"/>
              <w:rPr>
                <w:color w:val="000000"/>
                <w:sz w:val="22"/>
                <w:szCs w:val="22"/>
              </w:rPr>
            </w:pPr>
            <w:r w:rsidRPr="00DA09B6">
              <w:rPr>
                <w:color w:val="000000"/>
                <w:sz w:val="22"/>
                <w:szCs w:val="22"/>
              </w:rPr>
              <w:t>BVI Tayaboui Buyo</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11 653</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1 651</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339</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3 953</w:t>
            </w:r>
          </w:p>
        </w:tc>
        <w:tc>
          <w:tcPr>
            <w:tcW w:w="814" w:type="pct"/>
            <w:vAlign w:val="center"/>
          </w:tcPr>
          <w:p w:rsidR="00584329" w:rsidRPr="00DA09B6" w:rsidRDefault="00584329" w:rsidP="003F44A4">
            <w:pPr>
              <w:jc w:val="center"/>
              <w:rPr>
                <w:color w:val="000000"/>
                <w:sz w:val="22"/>
                <w:szCs w:val="22"/>
              </w:rPr>
            </w:pPr>
            <w:r w:rsidRPr="00DA09B6">
              <w:rPr>
                <w:color w:val="000000"/>
                <w:sz w:val="22"/>
                <w:szCs w:val="22"/>
              </w:rPr>
              <w:t>21%</w:t>
            </w:r>
          </w:p>
        </w:tc>
      </w:tr>
      <w:tr w:rsidR="00584329" w:rsidRPr="00DA09B6" w:rsidTr="003F44A4">
        <w:trPr>
          <w:trHeight w:val="576"/>
        </w:trPr>
        <w:tc>
          <w:tcPr>
            <w:tcW w:w="926" w:type="pct"/>
            <w:shd w:val="clear" w:color="auto" w:fill="auto"/>
            <w:vAlign w:val="center"/>
          </w:tcPr>
          <w:p w:rsidR="00584329" w:rsidRPr="00DA09B6" w:rsidRDefault="00584329" w:rsidP="003F44A4">
            <w:pPr>
              <w:jc w:val="center"/>
              <w:rPr>
                <w:color w:val="000000"/>
                <w:sz w:val="22"/>
                <w:szCs w:val="22"/>
              </w:rPr>
            </w:pPr>
            <w:r w:rsidRPr="00DA09B6">
              <w:rPr>
                <w:color w:val="000000"/>
                <w:sz w:val="22"/>
                <w:szCs w:val="22"/>
              </w:rPr>
              <w:t>BVI Buyo   Soubré</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15 750</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1 475</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97</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1 537</w:t>
            </w:r>
          </w:p>
        </w:tc>
        <w:tc>
          <w:tcPr>
            <w:tcW w:w="814" w:type="pct"/>
            <w:vAlign w:val="center"/>
          </w:tcPr>
          <w:p w:rsidR="00584329" w:rsidRPr="00DA09B6" w:rsidRDefault="00584329" w:rsidP="003F44A4">
            <w:pPr>
              <w:jc w:val="center"/>
              <w:rPr>
                <w:color w:val="000000"/>
                <w:sz w:val="22"/>
                <w:szCs w:val="22"/>
              </w:rPr>
            </w:pPr>
            <w:r w:rsidRPr="00DA09B6">
              <w:rPr>
                <w:color w:val="000000"/>
                <w:sz w:val="22"/>
                <w:szCs w:val="22"/>
              </w:rPr>
              <w:t>7%</w:t>
            </w:r>
          </w:p>
        </w:tc>
      </w:tr>
      <w:tr w:rsidR="00584329" w:rsidRPr="00DA09B6" w:rsidTr="003F44A4">
        <w:trPr>
          <w:trHeight w:val="576"/>
        </w:trPr>
        <w:tc>
          <w:tcPr>
            <w:tcW w:w="926" w:type="pct"/>
            <w:shd w:val="clear" w:color="auto" w:fill="auto"/>
            <w:vAlign w:val="center"/>
          </w:tcPr>
          <w:p w:rsidR="00584329" w:rsidRPr="00DA09B6" w:rsidRDefault="00584329" w:rsidP="003F44A4">
            <w:pPr>
              <w:jc w:val="center"/>
              <w:rPr>
                <w:color w:val="000000"/>
                <w:sz w:val="22"/>
                <w:szCs w:val="22"/>
              </w:rPr>
            </w:pPr>
            <w:r w:rsidRPr="00DA09B6">
              <w:rPr>
                <w:color w:val="000000"/>
                <w:sz w:val="22"/>
                <w:szCs w:val="22"/>
              </w:rPr>
              <w:t>BVI Soubré Gribo-Popoli</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743</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1 576</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190</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142</w:t>
            </w:r>
          </w:p>
        </w:tc>
        <w:tc>
          <w:tcPr>
            <w:tcW w:w="814" w:type="pct"/>
            <w:vAlign w:val="center"/>
          </w:tcPr>
          <w:p w:rsidR="00584329" w:rsidRPr="00DA09B6" w:rsidRDefault="00584329" w:rsidP="003F44A4">
            <w:pPr>
              <w:jc w:val="center"/>
              <w:rPr>
                <w:color w:val="000000"/>
                <w:sz w:val="22"/>
                <w:szCs w:val="22"/>
              </w:rPr>
            </w:pPr>
            <w:r w:rsidRPr="00DA09B6">
              <w:rPr>
                <w:color w:val="000000"/>
                <w:sz w:val="22"/>
                <w:szCs w:val="22"/>
              </w:rPr>
              <w:t>12%</w:t>
            </w:r>
          </w:p>
        </w:tc>
      </w:tr>
      <w:tr w:rsidR="00584329" w:rsidRPr="00DA09B6" w:rsidTr="003F44A4">
        <w:trPr>
          <w:trHeight w:val="576"/>
        </w:trPr>
        <w:tc>
          <w:tcPr>
            <w:tcW w:w="926" w:type="pct"/>
            <w:shd w:val="clear" w:color="auto" w:fill="auto"/>
            <w:vAlign w:val="center"/>
          </w:tcPr>
          <w:p w:rsidR="00584329" w:rsidRPr="00DA09B6" w:rsidRDefault="00584329" w:rsidP="003F44A4">
            <w:pPr>
              <w:jc w:val="center"/>
              <w:rPr>
                <w:color w:val="000000"/>
                <w:sz w:val="22"/>
                <w:szCs w:val="22"/>
              </w:rPr>
            </w:pPr>
            <w:r w:rsidRPr="00DA09B6">
              <w:rPr>
                <w:color w:val="000000"/>
                <w:sz w:val="22"/>
                <w:szCs w:val="22"/>
              </w:rPr>
              <w:t>BVI Gribo-Popoli Boutoubré</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3 167</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1 583</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191</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606</w:t>
            </w:r>
          </w:p>
        </w:tc>
        <w:tc>
          <w:tcPr>
            <w:tcW w:w="814" w:type="pct"/>
            <w:vAlign w:val="center"/>
          </w:tcPr>
          <w:p w:rsidR="00584329" w:rsidRPr="00DA09B6" w:rsidRDefault="00584329" w:rsidP="003F44A4">
            <w:pPr>
              <w:jc w:val="center"/>
              <w:rPr>
                <w:color w:val="000000"/>
                <w:sz w:val="22"/>
                <w:szCs w:val="22"/>
              </w:rPr>
            </w:pPr>
            <w:r w:rsidRPr="00DA09B6">
              <w:rPr>
                <w:color w:val="000000"/>
                <w:sz w:val="22"/>
                <w:szCs w:val="22"/>
              </w:rPr>
              <w:t>12%</w:t>
            </w:r>
          </w:p>
        </w:tc>
      </w:tr>
      <w:tr w:rsidR="00584329" w:rsidRPr="00DA09B6" w:rsidTr="003F44A4">
        <w:trPr>
          <w:trHeight w:val="576"/>
        </w:trPr>
        <w:tc>
          <w:tcPr>
            <w:tcW w:w="926" w:type="pct"/>
            <w:shd w:val="clear" w:color="auto" w:fill="auto"/>
            <w:vAlign w:val="center"/>
          </w:tcPr>
          <w:p w:rsidR="00584329" w:rsidRPr="00DA09B6" w:rsidRDefault="00584329" w:rsidP="003F44A4">
            <w:pPr>
              <w:jc w:val="center"/>
              <w:rPr>
                <w:color w:val="000000"/>
                <w:sz w:val="22"/>
                <w:szCs w:val="22"/>
              </w:rPr>
            </w:pPr>
            <w:r w:rsidRPr="00DA09B6">
              <w:rPr>
                <w:color w:val="000000"/>
                <w:sz w:val="22"/>
                <w:szCs w:val="22"/>
              </w:rPr>
              <w:t>BVI Boutoubré Louga</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1 972</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1 641</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198</w:t>
            </w:r>
          </w:p>
        </w:tc>
        <w:tc>
          <w:tcPr>
            <w:tcW w:w="815" w:type="pct"/>
            <w:vAlign w:val="center"/>
          </w:tcPr>
          <w:p w:rsidR="00584329" w:rsidRPr="00DA09B6" w:rsidRDefault="00584329" w:rsidP="003F44A4">
            <w:pPr>
              <w:jc w:val="center"/>
              <w:rPr>
                <w:color w:val="000000"/>
                <w:sz w:val="22"/>
                <w:szCs w:val="22"/>
              </w:rPr>
            </w:pPr>
            <w:r w:rsidRPr="00DA09B6">
              <w:rPr>
                <w:color w:val="000000"/>
                <w:sz w:val="22"/>
                <w:szCs w:val="22"/>
              </w:rPr>
              <w:t>391</w:t>
            </w:r>
          </w:p>
        </w:tc>
        <w:tc>
          <w:tcPr>
            <w:tcW w:w="814" w:type="pct"/>
            <w:vAlign w:val="center"/>
          </w:tcPr>
          <w:p w:rsidR="00584329" w:rsidRPr="00DA09B6" w:rsidRDefault="00584329" w:rsidP="003F44A4">
            <w:pPr>
              <w:jc w:val="center"/>
              <w:rPr>
                <w:color w:val="000000"/>
                <w:sz w:val="22"/>
                <w:szCs w:val="22"/>
              </w:rPr>
            </w:pPr>
            <w:r w:rsidRPr="00DA09B6">
              <w:rPr>
                <w:color w:val="000000"/>
                <w:sz w:val="22"/>
                <w:szCs w:val="22"/>
              </w:rPr>
              <w:t>12%</w:t>
            </w:r>
          </w:p>
        </w:tc>
      </w:tr>
    </w:tbl>
    <w:p w:rsidR="00584329" w:rsidRDefault="00584329" w:rsidP="00EA66B6">
      <w:pPr>
        <w:jc w:val="both"/>
        <w:rPr>
          <w:sz w:val="22"/>
        </w:rPr>
      </w:pPr>
      <w:r>
        <w:rPr>
          <w:sz w:val="22"/>
        </w:rPr>
        <w:t>*BVI : Bassin Versant Intermédiaire</w:t>
      </w:r>
    </w:p>
    <w:p w:rsidR="00584329" w:rsidRDefault="00584329" w:rsidP="00EA66B6">
      <w:pPr>
        <w:jc w:val="both"/>
        <w:rPr>
          <w:sz w:val="22"/>
        </w:rPr>
      </w:pPr>
    </w:p>
    <w:p w:rsidR="00584329" w:rsidRDefault="00584329">
      <w:pPr>
        <w:rPr>
          <w:sz w:val="22"/>
        </w:rPr>
      </w:pPr>
      <w:r>
        <w:rPr>
          <w:sz w:val="22"/>
        </w:rPr>
        <w:br w:type="page"/>
      </w:r>
    </w:p>
    <w:p w:rsidR="00584329" w:rsidRDefault="000835A5" w:rsidP="00EA66B6">
      <w:pPr>
        <w:jc w:val="both"/>
        <w:rPr>
          <w:sz w:val="22"/>
        </w:rPr>
      </w:pPr>
      <w:r>
        <w:rPr>
          <w:sz w:val="22"/>
        </w:rPr>
        <w:lastRenderedPageBreak/>
        <w:t>Fig. 1 Bassin versant du Sassandra et principales caractéristiques hydrologiques des sous-bassins versants jaugés, calculées sur la période 1954-2013.</w:t>
      </w:r>
    </w:p>
    <w:p w:rsidR="000835A5" w:rsidRDefault="000835A5" w:rsidP="00EA66B6">
      <w:pPr>
        <w:jc w:val="both"/>
        <w:rPr>
          <w:sz w:val="22"/>
        </w:rPr>
      </w:pPr>
    </w:p>
    <w:p w:rsidR="000835A5" w:rsidRDefault="000835A5" w:rsidP="00EA66B6">
      <w:pPr>
        <w:jc w:val="both"/>
        <w:rPr>
          <w:sz w:val="22"/>
        </w:rPr>
      </w:pPr>
      <w:r>
        <w:rPr>
          <w:sz w:val="22"/>
        </w:rPr>
        <w:t>Fig. 2 Représentation du modèle intégré du bassin du Sassandra.</w:t>
      </w:r>
    </w:p>
    <w:p w:rsidR="000835A5" w:rsidRDefault="000835A5" w:rsidP="00EA66B6">
      <w:pPr>
        <w:jc w:val="both"/>
        <w:rPr>
          <w:sz w:val="22"/>
        </w:rPr>
      </w:pPr>
    </w:p>
    <w:p w:rsidR="000835A5" w:rsidRDefault="000835A5" w:rsidP="00EA66B6">
      <w:pPr>
        <w:jc w:val="both"/>
        <w:rPr>
          <w:sz w:val="22"/>
        </w:rPr>
      </w:pPr>
      <w:r>
        <w:rPr>
          <w:sz w:val="22"/>
        </w:rPr>
        <w:t>Fig. 3 Evolution de la pluviométrie annuelle sur le bassin du Sassandra.</w:t>
      </w:r>
    </w:p>
    <w:p w:rsidR="000835A5" w:rsidRDefault="000835A5" w:rsidP="00EA66B6">
      <w:pPr>
        <w:jc w:val="both"/>
        <w:rPr>
          <w:sz w:val="22"/>
        </w:rPr>
      </w:pPr>
    </w:p>
    <w:p w:rsidR="000835A5" w:rsidRDefault="000835A5" w:rsidP="00EA66B6">
      <w:pPr>
        <w:jc w:val="both"/>
        <w:rPr>
          <w:sz w:val="22"/>
        </w:rPr>
      </w:pPr>
      <w:r>
        <w:rPr>
          <w:sz w:val="22"/>
        </w:rPr>
        <w:t>Fig. 4 Evolution des débits moyens annuels sur le bassin du Sassandra.</w:t>
      </w:r>
    </w:p>
    <w:p w:rsidR="000835A5" w:rsidRDefault="000835A5" w:rsidP="00EA66B6">
      <w:pPr>
        <w:jc w:val="both"/>
        <w:rPr>
          <w:sz w:val="22"/>
        </w:rPr>
      </w:pPr>
    </w:p>
    <w:p w:rsidR="000835A5" w:rsidRDefault="000835A5" w:rsidP="00EA66B6">
      <w:pPr>
        <w:jc w:val="both"/>
        <w:rPr>
          <w:sz w:val="22"/>
        </w:rPr>
      </w:pPr>
      <w:r>
        <w:rPr>
          <w:sz w:val="22"/>
        </w:rPr>
        <w:t>Fig. 5 (a) Débits moyens mensuels du Sassandra à la station de Piebli graphique débit-débit (b) Débits moyens mensuels du Sassandra à la station de Piebli graphique des débits en fonction du temps.</w:t>
      </w:r>
    </w:p>
    <w:p w:rsidR="00584329" w:rsidRDefault="00584329" w:rsidP="00EA66B6">
      <w:pPr>
        <w:jc w:val="both"/>
        <w:rPr>
          <w:sz w:val="22"/>
        </w:rPr>
      </w:pPr>
    </w:p>
    <w:p w:rsidR="000835A5" w:rsidRDefault="000835A5" w:rsidP="000835A5">
      <w:pPr>
        <w:jc w:val="both"/>
        <w:rPr>
          <w:sz w:val="22"/>
        </w:rPr>
      </w:pPr>
      <w:r>
        <w:rPr>
          <w:sz w:val="22"/>
        </w:rPr>
        <w:t>Fig. 6 (a) Débits moyens mensuels du Sassandra à Buyo graphique débit-débit (b) Débits moyens mensuels du Sassandra à Buyo graphique des débits en fonction du temps.</w:t>
      </w:r>
    </w:p>
    <w:p w:rsidR="00584329" w:rsidRDefault="00584329" w:rsidP="00EA66B6">
      <w:pPr>
        <w:jc w:val="both"/>
        <w:rPr>
          <w:sz w:val="22"/>
        </w:rPr>
      </w:pPr>
    </w:p>
    <w:p w:rsidR="000835A5" w:rsidRDefault="000835A5" w:rsidP="000835A5">
      <w:pPr>
        <w:jc w:val="both"/>
        <w:rPr>
          <w:sz w:val="22"/>
        </w:rPr>
      </w:pPr>
      <w:r>
        <w:rPr>
          <w:sz w:val="22"/>
        </w:rPr>
        <w:t>Fig. 7(a) Débits moyens mensuels du Sassandra à Soubré graphique débit-débit (b) Débits moyens mensuels du Sassandra à Soubré graphique des débits en fonction du temps.</w:t>
      </w:r>
    </w:p>
    <w:p w:rsidR="000835A5" w:rsidRDefault="000835A5" w:rsidP="000835A5">
      <w:pPr>
        <w:jc w:val="both"/>
        <w:rPr>
          <w:sz w:val="22"/>
        </w:rPr>
      </w:pPr>
    </w:p>
    <w:p w:rsidR="000835A5" w:rsidRDefault="000835A5" w:rsidP="000835A5">
      <w:pPr>
        <w:jc w:val="both"/>
        <w:rPr>
          <w:sz w:val="22"/>
        </w:rPr>
      </w:pPr>
      <w:r>
        <w:rPr>
          <w:sz w:val="22"/>
        </w:rPr>
        <w:t>Fig. 8 Moyennes saisonnières des niveaux du réservoir, des débits turbinés et des débits sortants à Buyo comparaison entre les données historiques d’exploitation et les résultats de la simulation sur la période 1981-2013.</w:t>
      </w:r>
    </w:p>
    <w:p w:rsidR="00584329" w:rsidRDefault="00584329">
      <w:pPr>
        <w:rPr>
          <w:sz w:val="22"/>
        </w:rPr>
      </w:pPr>
    </w:p>
    <w:sectPr w:rsidR="00584329" w:rsidSect="001F5439">
      <w:pgSz w:w="11906" w:h="16838"/>
      <w:pgMar w:top="1417" w:right="991"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FE3" w:rsidRDefault="000C2FE3" w:rsidP="00EC55C4">
      <w:r>
        <w:separator/>
      </w:r>
    </w:p>
  </w:endnote>
  <w:endnote w:type="continuationSeparator" w:id="0">
    <w:p w:rsidR="000C2FE3" w:rsidRDefault="000C2FE3" w:rsidP="00EC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FE3" w:rsidRDefault="000C2FE3" w:rsidP="00EC55C4">
      <w:r>
        <w:separator/>
      </w:r>
    </w:p>
  </w:footnote>
  <w:footnote w:type="continuationSeparator" w:id="0">
    <w:p w:rsidR="000C2FE3" w:rsidRDefault="000C2FE3" w:rsidP="00EC5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5583"/>
    <w:multiLevelType w:val="hybridMultilevel"/>
    <w:tmpl w:val="D3B43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797D8E"/>
    <w:multiLevelType w:val="multilevel"/>
    <w:tmpl w:val="3F0402EE"/>
    <w:lvl w:ilvl="0">
      <w:start w:val="1"/>
      <w:numFmt w:val="decimal"/>
      <w:pStyle w:val="Titre1"/>
      <w:lvlText w:val="%1"/>
      <w:lvlJc w:val="left"/>
      <w:pPr>
        <w:tabs>
          <w:tab w:val="num" w:pos="522"/>
        </w:tabs>
        <w:ind w:left="522" w:hanging="432"/>
      </w:pPr>
      <w:rPr>
        <w:rFonts w:hint="default"/>
      </w:rPr>
    </w:lvl>
    <w:lvl w:ilvl="1">
      <w:start w:val="1"/>
      <w:numFmt w:val="decimal"/>
      <w:pStyle w:val="Titre2"/>
      <w:lvlText w:val="%1.%2"/>
      <w:lvlJc w:val="left"/>
      <w:pPr>
        <w:tabs>
          <w:tab w:val="num" w:pos="576"/>
        </w:tabs>
        <w:ind w:left="576" w:hanging="576"/>
      </w:pPr>
      <w:rPr>
        <w:rFonts w:hint="default"/>
        <w:lang w:val="fr-FR"/>
      </w:rPr>
    </w:lvl>
    <w:lvl w:ilvl="2">
      <w:start w:val="1"/>
      <w:numFmt w:val="decimal"/>
      <w:lvlText w:val="%1.%2.%3"/>
      <w:lvlJc w:val="left"/>
      <w:pPr>
        <w:tabs>
          <w:tab w:val="num" w:pos="1260"/>
        </w:tabs>
        <w:ind w:left="126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tabs>
          <w:tab w:val="num" w:pos="1584"/>
        </w:tabs>
        <w:ind w:left="158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
    <w:nsid w:val="4D9D53B3"/>
    <w:multiLevelType w:val="hybridMultilevel"/>
    <w:tmpl w:val="75EA1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34"/>
    <w:rsid w:val="00007309"/>
    <w:rsid w:val="000111CA"/>
    <w:rsid w:val="0003392D"/>
    <w:rsid w:val="0004612F"/>
    <w:rsid w:val="000835A5"/>
    <w:rsid w:val="000C2FE3"/>
    <w:rsid w:val="000C5F58"/>
    <w:rsid w:val="000F4F80"/>
    <w:rsid w:val="00107882"/>
    <w:rsid w:val="00111B78"/>
    <w:rsid w:val="001209C7"/>
    <w:rsid w:val="0012227B"/>
    <w:rsid w:val="00125366"/>
    <w:rsid w:val="0019539B"/>
    <w:rsid w:val="001A2F0D"/>
    <w:rsid w:val="001D1AEF"/>
    <w:rsid w:val="001F5439"/>
    <w:rsid w:val="00217914"/>
    <w:rsid w:val="002C0C58"/>
    <w:rsid w:val="002C6BFC"/>
    <w:rsid w:val="002D0341"/>
    <w:rsid w:val="0032562A"/>
    <w:rsid w:val="0033125C"/>
    <w:rsid w:val="00345418"/>
    <w:rsid w:val="00350E9C"/>
    <w:rsid w:val="0035499E"/>
    <w:rsid w:val="00370836"/>
    <w:rsid w:val="00385501"/>
    <w:rsid w:val="00391640"/>
    <w:rsid w:val="003A291D"/>
    <w:rsid w:val="003A4033"/>
    <w:rsid w:val="003C3CDA"/>
    <w:rsid w:val="003D233A"/>
    <w:rsid w:val="003F44A4"/>
    <w:rsid w:val="004036F3"/>
    <w:rsid w:val="0042014E"/>
    <w:rsid w:val="0042227F"/>
    <w:rsid w:val="00476BFA"/>
    <w:rsid w:val="00485825"/>
    <w:rsid w:val="004A5D16"/>
    <w:rsid w:val="004B1C08"/>
    <w:rsid w:val="004E1C8C"/>
    <w:rsid w:val="00500D52"/>
    <w:rsid w:val="00512C3E"/>
    <w:rsid w:val="005358DA"/>
    <w:rsid w:val="00584329"/>
    <w:rsid w:val="005A6A13"/>
    <w:rsid w:val="005C4BF5"/>
    <w:rsid w:val="005D479A"/>
    <w:rsid w:val="005D750D"/>
    <w:rsid w:val="005E6051"/>
    <w:rsid w:val="005F63F7"/>
    <w:rsid w:val="00604D58"/>
    <w:rsid w:val="006077C2"/>
    <w:rsid w:val="0061403F"/>
    <w:rsid w:val="00654452"/>
    <w:rsid w:val="006B41F5"/>
    <w:rsid w:val="006C6670"/>
    <w:rsid w:val="006E25A4"/>
    <w:rsid w:val="006F3990"/>
    <w:rsid w:val="006F611D"/>
    <w:rsid w:val="0071305A"/>
    <w:rsid w:val="00725852"/>
    <w:rsid w:val="00753AB1"/>
    <w:rsid w:val="0075645E"/>
    <w:rsid w:val="00792BB4"/>
    <w:rsid w:val="007A0FD8"/>
    <w:rsid w:val="007C207D"/>
    <w:rsid w:val="0081018F"/>
    <w:rsid w:val="00813B63"/>
    <w:rsid w:val="008145C4"/>
    <w:rsid w:val="0081635C"/>
    <w:rsid w:val="0083604A"/>
    <w:rsid w:val="008835CF"/>
    <w:rsid w:val="00894E40"/>
    <w:rsid w:val="00895FB1"/>
    <w:rsid w:val="008B024D"/>
    <w:rsid w:val="008C4305"/>
    <w:rsid w:val="00900D03"/>
    <w:rsid w:val="00923570"/>
    <w:rsid w:val="009237A9"/>
    <w:rsid w:val="009249DD"/>
    <w:rsid w:val="00927E2F"/>
    <w:rsid w:val="00935428"/>
    <w:rsid w:val="0094300B"/>
    <w:rsid w:val="00972D64"/>
    <w:rsid w:val="009A48E1"/>
    <w:rsid w:val="009B5B56"/>
    <w:rsid w:val="009F39C3"/>
    <w:rsid w:val="00A15987"/>
    <w:rsid w:val="00A24682"/>
    <w:rsid w:val="00A507EA"/>
    <w:rsid w:val="00A57F1E"/>
    <w:rsid w:val="00A72A35"/>
    <w:rsid w:val="00AB2893"/>
    <w:rsid w:val="00AC1A21"/>
    <w:rsid w:val="00AE28E2"/>
    <w:rsid w:val="00B16F37"/>
    <w:rsid w:val="00B252F0"/>
    <w:rsid w:val="00B30346"/>
    <w:rsid w:val="00B30572"/>
    <w:rsid w:val="00B35F4A"/>
    <w:rsid w:val="00B56D34"/>
    <w:rsid w:val="00B67C4A"/>
    <w:rsid w:val="00BA2F2E"/>
    <w:rsid w:val="00BB277E"/>
    <w:rsid w:val="00BC4D7C"/>
    <w:rsid w:val="00BC5297"/>
    <w:rsid w:val="00BE3FD4"/>
    <w:rsid w:val="00BE40AB"/>
    <w:rsid w:val="00BE74E7"/>
    <w:rsid w:val="00C041D4"/>
    <w:rsid w:val="00C0421D"/>
    <w:rsid w:val="00C06387"/>
    <w:rsid w:val="00C0782D"/>
    <w:rsid w:val="00C25069"/>
    <w:rsid w:val="00C320B4"/>
    <w:rsid w:val="00CD0C29"/>
    <w:rsid w:val="00CD219D"/>
    <w:rsid w:val="00CD7033"/>
    <w:rsid w:val="00CE59AD"/>
    <w:rsid w:val="00D216C9"/>
    <w:rsid w:val="00D26D6F"/>
    <w:rsid w:val="00D4476C"/>
    <w:rsid w:val="00D61F32"/>
    <w:rsid w:val="00D70731"/>
    <w:rsid w:val="00D8443C"/>
    <w:rsid w:val="00DA09B6"/>
    <w:rsid w:val="00DA1748"/>
    <w:rsid w:val="00DB59C6"/>
    <w:rsid w:val="00DD5EAD"/>
    <w:rsid w:val="00DE22CB"/>
    <w:rsid w:val="00E57BA1"/>
    <w:rsid w:val="00E60BD0"/>
    <w:rsid w:val="00E8550A"/>
    <w:rsid w:val="00EA66B6"/>
    <w:rsid w:val="00EC1242"/>
    <w:rsid w:val="00EC55C4"/>
    <w:rsid w:val="00EE58F0"/>
    <w:rsid w:val="00F0656B"/>
    <w:rsid w:val="00F7325E"/>
    <w:rsid w:val="00FA0F79"/>
    <w:rsid w:val="00FA6B7F"/>
    <w:rsid w:val="00FC0CFF"/>
    <w:rsid w:val="00FC6859"/>
    <w:rsid w:val="00FF4C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34"/>
    <w:rPr>
      <w:lang w:eastAsia="fr-FR"/>
    </w:rPr>
  </w:style>
  <w:style w:type="paragraph" w:styleId="Titre1">
    <w:name w:val="heading 1"/>
    <w:basedOn w:val="Normal"/>
    <w:link w:val="Titre1Car"/>
    <w:qFormat/>
    <w:rsid w:val="0083604A"/>
    <w:pPr>
      <w:keepLines/>
      <w:numPr>
        <w:numId w:val="8"/>
      </w:numPr>
      <w:tabs>
        <w:tab w:val="left" w:pos="840"/>
      </w:tabs>
      <w:spacing w:before="480"/>
      <w:outlineLvl w:val="0"/>
    </w:pPr>
    <w:rPr>
      <w:b/>
      <w:caps/>
      <w:sz w:val="24"/>
    </w:rPr>
  </w:style>
  <w:style w:type="paragraph" w:styleId="Titre2">
    <w:name w:val="heading 2"/>
    <w:basedOn w:val="Normal"/>
    <w:link w:val="Titre2Car"/>
    <w:qFormat/>
    <w:rsid w:val="0083604A"/>
    <w:pPr>
      <w:numPr>
        <w:ilvl w:val="1"/>
        <w:numId w:val="8"/>
      </w:numPr>
      <w:tabs>
        <w:tab w:val="left" w:pos="839"/>
      </w:tabs>
      <w:spacing w:before="480"/>
      <w:outlineLvl w:val="1"/>
    </w:pPr>
    <w:rPr>
      <w:b/>
      <w:sz w:val="24"/>
    </w:rPr>
  </w:style>
  <w:style w:type="paragraph" w:styleId="Titre4">
    <w:name w:val="heading 4"/>
    <w:basedOn w:val="Normal"/>
    <w:link w:val="Titre4Car"/>
    <w:qFormat/>
    <w:rsid w:val="0083604A"/>
    <w:pPr>
      <w:keepLines/>
      <w:numPr>
        <w:ilvl w:val="3"/>
        <w:numId w:val="8"/>
      </w:numPr>
      <w:tabs>
        <w:tab w:val="left" w:pos="1200"/>
      </w:tabs>
      <w:spacing w:before="480"/>
      <w:outlineLvl w:val="3"/>
    </w:pPr>
    <w:rPr>
      <w:i/>
    </w:rPr>
  </w:style>
  <w:style w:type="paragraph" w:styleId="Titre5">
    <w:name w:val="heading 5"/>
    <w:basedOn w:val="Normal"/>
    <w:link w:val="Titre5Car"/>
    <w:qFormat/>
    <w:rsid w:val="0083604A"/>
    <w:pPr>
      <w:numPr>
        <w:ilvl w:val="4"/>
        <w:numId w:val="8"/>
      </w:numPr>
      <w:tabs>
        <w:tab w:val="left" w:pos="2040"/>
        <w:tab w:val="left" w:pos="2520"/>
      </w:tabs>
      <w:spacing w:before="480"/>
      <w:outlineLvl w:val="4"/>
    </w:pPr>
    <w:rPr>
      <w:b/>
      <w:caps/>
      <w:sz w:val="26"/>
    </w:rPr>
  </w:style>
  <w:style w:type="paragraph" w:styleId="Titre6">
    <w:name w:val="heading 6"/>
    <w:basedOn w:val="Normal"/>
    <w:next w:val="Retraitnormal"/>
    <w:link w:val="Titre6Car"/>
    <w:qFormat/>
    <w:rsid w:val="0083604A"/>
    <w:pPr>
      <w:numPr>
        <w:ilvl w:val="5"/>
        <w:numId w:val="8"/>
      </w:numPr>
      <w:spacing w:line="240" w:lineRule="exact"/>
      <w:outlineLvl w:val="5"/>
    </w:pPr>
    <w:rPr>
      <w:u w:val="single"/>
    </w:rPr>
  </w:style>
  <w:style w:type="paragraph" w:styleId="Titre7">
    <w:name w:val="heading 7"/>
    <w:basedOn w:val="Normal"/>
    <w:next w:val="Retraitnormal"/>
    <w:link w:val="Titre7Car"/>
    <w:qFormat/>
    <w:rsid w:val="0083604A"/>
    <w:pPr>
      <w:numPr>
        <w:ilvl w:val="6"/>
        <w:numId w:val="8"/>
      </w:numPr>
      <w:spacing w:line="240" w:lineRule="exact"/>
      <w:outlineLvl w:val="6"/>
    </w:pPr>
    <w:rPr>
      <w:i/>
    </w:rPr>
  </w:style>
  <w:style w:type="paragraph" w:styleId="Titre8">
    <w:name w:val="heading 8"/>
    <w:basedOn w:val="Normal"/>
    <w:next w:val="Retraitnormal"/>
    <w:link w:val="Titre8Car"/>
    <w:qFormat/>
    <w:rsid w:val="0083604A"/>
    <w:pPr>
      <w:numPr>
        <w:ilvl w:val="7"/>
        <w:numId w:val="8"/>
      </w:numPr>
      <w:spacing w:line="240" w:lineRule="exact"/>
      <w:outlineLvl w:val="7"/>
    </w:pPr>
    <w:rPr>
      <w:i/>
    </w:rPr>
  </w:style>
  <w:style w:type="paragraph" w:styleId="Titre9">
    <w:name w:val="heading 9"/>
    <w:basedOn w:val="Normal"/>
    <w:next w:val="Retraitnormal"/>
    <w:link w:val="Titre9Car"/>
    <w:qFormat/>
    <w:rsid w:val="0083604A"/>
    <w:pPr>
      <w:numPr>
        <w:ilvl w:val="8"/>
        <w:numId w:val="8"/>
      </w:numPr>
      <w:spacing w:line="240" w:lineRule="exact"/>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3604A"/>
    <w:rPr>
      <w:rFonts w:ascii="Arial" w:hAnsi="Arial" w:cs="Arial"/>
      <w:b/>
      <w:caps/>
      <w:sz w:val="24"/>
      <w:szCs w:val="22"/>
    </w:rPr>
  </w:style>
  <w:style w:type="character" w:customStyle="1" w:styleId="Titre2Car">
    <w:name w:val="Titre 2 Car"/>
    <w:basedOn w:val="Policepardfaut"/>
    <w:link w:val="Titre2"/>
    <w:rsid w:val="0083604A"/>
    <w:rPr>
      <w:rFonts w:ascii="Arial" w:hAnsi="Arial" w:cs="Arial"/>
      <w:b/>
      <w:sz w:val="24"/>
      <w:szCs w:val="22"/>
    </w:rPr>
  </w:style>
  <w:style w:type="character" w:customStyle="1" w:styleId="Titre4Car">
    <w:name w:val="Titre 4 Car"/>
    <w:basedOn w:val="Policepardfaut"/>
    <w:link w:val="Titre4"/>
    <w:rsid w:val="0083604A"/>
    <w:rPr>
      <w:rFonts w:ascii="Arial" w:hAnsi="Arial" w:cs="Arial"/>
      <w:i/>
      <w:sz w:val="22"/>
      <w:szCs w:val="22"/>
    </w:rPr>
  </w:style>
  <w:style w:type="character" w:customStyle="1" w:styleId="Titre5Car">
    <w:name w:val="Titre 5 Car"/>
    <w:basedOn w:val="Policepardfaut"/>
    <w:link w:val="Titre5"/>
    <w:rsid w:val="0083604A"/>
    <w:rPr>
      <w:rFonts w:ascii="Arial" w:hAnsi="Arial" w:cs="Arial"/>
      <w:b/>
      <w:caps/>
      <w:sz w:val="26"/>
      <w:szCs w:val="22"/>
    </w:rPr>
  </w:style>
  <w:style w:type="character" w:customStyle="1" w:styleId="Titre6Car">
    <w:name w:val="Titre 6 Car"/>
    <w:basedOn w:val="Policepardfaut"/>
    <w:link w:val="Titre6"/>
    <w:rsid w:val="0083604A"/>
    <w:rPr>
      <w:rFonts w:cs="Arial"/>
      <w:szCs w:val="22"/>
      <w:u w:val="single"/>
    </w:rPr>
  </w:style>
  <w:style w:type="paragraph" w:styleId="Retraitnormal">
    <w:name w:val="Normal Indent"/>
    <w:basedOn w:val="Normal"/>
    <w:uiPriority w:val="99"/>
    <w:semiHidden/>
    <w:unhideWhenUsed/>
    <w:rsid w:val="0083604A"/>
    <w:pPr>
      <w:ind w:left="708"/>
    </w:pPr>
  </w:style>
  <w:style w:type="character" w:customStyle="1" w:styleId="Titre7Car">
    <w:name w:val="Titre 7 Car"/>
    <w:basedOn w:val="Policepardfaut"/>
    <w:link w:val="Titre7"/>
    <w:rsid w:val="0083604A"/>
    <w:rPr>
      <w:rFonts w:cs="Arial"/>
      <w:i/>
      <w:szCs w:val="22"/>
    </w:rPr>
  </w:style>
  <w:style w:type="character" w:customStyle="1" w:styleId="Titre8Car">
    <w:name w:val="Titre 8 Car"/>
    <w:basedOn w:val="Policepardfaut"/>
    <w:link w:val="Titre8"/>
    <w:rsid w:val="0083604A"/>
    <w:rPr>
      <w:rFonts w:cs="Arial"/>
      <w:i/>
      <w:szCs w:val="22"/>
    </w:rPr>
  </w:style>
  <w:style w:type="character" w:customStyle="1" w:styleId="Titre9Car">
    <w:name w:val="Titre 9 Car"/>
    <w:basedOn w:val="Policepardfaut"/>
    <w:link w:val="Titre9"/>
    <w:rsid w:val="0083604A"/>
    <w:rPr>
      <w:rFonts w:cs="Arial"/>
      <w:i/>
      <w:szCs w:val="22"/>
    </w:rPr>
  </w:style>
  <w:style w:type="paragraph" w:styleId="Lgende">
    <w:name w:val="caption"/>
    <w:basedOn w:val="Normal"/>
    <w:next w:val="Normal"/>
    <w:link w:val="LgendeCar"/>
    <w:qFormat/>
    <w:rsid w:val="0083604A"/>
    <w:rPr>
      <w:b/>
      <w:bCs/>
      <w:lang w:val="en-GB"/>
    </w:rPr>
  </w:style>
  <w:style w:type="character" w:customStyle="1" w:styleId="LgendeCar">
    <w:name w:val="Légende Car"/>
    <w:link w:val="Lgende"/>
    <w:rsid w:val="0083604A"/>
    <w:rPr>
      <w:b/>
      <w:bCs/>
      <w:lang w:val="en-GB"/>
    </w:rPr>
  </w:style>
  <w:style w:type="paragraph" w:styleId="Titre">
    <w:name w:val="Title"/>
    <w:basedOn w:val="Normal"/>
    <w:link w:val="TitreCar"/>
    <w:qFormat/>
    <w:rsid w:val="0083604A"/>
    <w:pPr>
      <w:spacing w:before="240" w:after="60"/>
      <w:jc w:val="center"/>
      <w:outlineLvl w:val="0"/>
    </w:pPr>
    <w:rPr>
      <w:b/>
      <w:bCs/>
      <w:kern w:val="28"/>
      <w:sz w:val="32"/>
      <w:szCs w:val="32"/>
    </w:rPr>
  </w:style>
  <w:style w:type="character" w:customStyle="1" w:styleId="TitreCar">
    <w:name w:val="Titre Car"/>
    <w:basedOn w:val="Policepardfaut"/>
    <w:link w:val="Titre"/>
    <w:rsid w:val="0083604A"/>
    <w:rPr>
      <w:rFonts w:ascii="Arial" w:hAnsi="Arial" w:cs="Arial"/>
      <w:b/>
      <w:bCs/>
      <w:kern w:val="28"/>
      <w:sz w:val="32"/>
      <w:szCs w:val="32"/>
    </w:rPr>
  </w:style>
  <w:style w:type="paragraph" w:styleId="Sous-titre">
    <w:name w:val="Subtitle"/>
    <w:basedOn w:val="Normal"/>
    <w:next w:val="Normal"/>
    <w:link w:val="Sous-titreCar"/>
    <w:qFormat/>
    <w:rsid w:val="0083604A"/>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rsid w:val="0083604A"/>
    <w:rPr>
      <w:rFonts w:asciiTheme="majorHAnsi" w:eastAsiaTheme="majorEastAsia" w:hAnsiTheme="majorHAnsi" w:cstheme="majorBidi"/>
      <w:sz w:val="24"/>
      <w:szCs w:val="24"/>
    </w:rPr>
  </w:style>
  <w:style w:type="paragraph" w:styleId="Paragraphedeliste">
    <w:name w:val="List Paragraph"/>
    <w:basedOn w:val="Normal"/>
    <w:uiPriority w:val="34"/>
    <w:qFormat/>
    <w:rsid w:val="0083604A"/>
    <w:pPr>
      <w:ind w:left="708"/>
    </w:pPr>
  </w:style>
  <w:style w:type="paragraph" w:styleId="En-ttedetabledesmatires">
    <w:name w:val="TOC Heading"/>
    <w:basedOn w:val="Titre1"/>
    <w:next w:val="Normal"/>
    <w:uiPriority w:val="39"/>
    <w:qFormat/>
    <w:rsid w:val="0083604A"/>
    <w:pPr>
      <w:keepNext/>
      <w:numPr>
        <w:numId w:val="0"/>
      </w:numPr>
      <w:tabs>
        <w:tab w:val="clear" w:pos="840"/>
      </w:tabs>
      <w:spacing w:line="276" w:lineRule="auto"/>
      <w:outlineLvl w:val="9"/>
    </w:pPr>
    <w:rPr>
      <w:rFonts w:ascii="Cambria" w:hAnsi="Cambria"/>
      <w:bCs/>
      <w:caps w:val="0"/>
      <w:color w:val="365F91"/>
      <w:sz w:val="28"/>
      <w:szCs w:val="28"/>
    </w:rPr>
  </w:style>
  <w:style w:type="paragraph" w:customStyle="1" w:styleId="paragraphesimple">
    <w:name w:val="paragraphe simple"/>
    <w:basedOn w:val="Normal"/>
    <w:rsid w:val="00B56D34"/>
    <w:pPr>
      <w:spacing w:after="240" w:line="240" w:lineRule="exact"/>
      <w:jc w:val="both"/>
    </w:pPr>
    <w:rPr>
      <w:rFonts w:ascii="Arial" w:hAnsi="Arial"/>
      <w:sz w:val="22"/>
    </w:rPr>
  </w:style>
  <w:style w:type="character" w:styleId="Lienhypertexte">
    <w:name w:val="Hyperlink"/>
    <w:rsid w:val="00B56D34"/>
    <w:rPr>
      <w:color w:val="0000FF"/>
      <w:u w:val="single"/>
    </w:rPr>
  </w:style>
  <w:style w:type="paragraph" w:styleId="Textedebulles">
    <w:name w:val="Balloon Text"/>
    <w:basedOn w:val="Normal"/>
    <w:link w:val="TextedebullesCar"/>
    <w:uiPriority w:val="99"/>
    <w:semiHidden/>
    <w:unhideWhenUsed/>
    <w:rsid w:val="00900D03"/>
    <w:rPr>
      <w:rFonts w:ascii="Tahoma" w:hAnsi="Tahoma" w:cs="Tahoma"/>
      <w:sz w:val="16"/>
      <w:szCs w:val="16"/>
    </w:rPr>
  </w:style>
  <w:style w:type="character" w:customStyle="1" w:styleId="TextedebullesCar">
    <w:name w:val="Texte de bulles Car"/>
    <w:basedOn w:val="Policepardfaut"/>
    <w:link w:val="Textedebulles"/>
    <w:uiPriority w:val="99"/>
    <w:semiHidden/>
    <w:rsid w:val="00900D03"/>
    <w:rPr>
      <w:rFonts w:ascii="Tahoma" w:hAnsi="Tahoma" w:cs="Tahoma"/>
      <w:sz w:val="16"/>
      <w:szCs w:val="16"/>
      <w:lang w:eastAsia="fr-FR"/>
    </w:rPr>
  </w:style>
  <w:style w:type="paragraph" w:styleId="Notedebasdepage">
    <w:name w:val="footnote text"/>
    <w:basedOn w:val="Normal"/>
    <w:link w:val="NotedebasdepageCar"/>
    <w:uiPriority w:val="99"/>
    <w:semiHidden/>
    <w:unhideWhenUsed/>
    <w:rsid w:val="00EC55C4"/>
  </w:style>
  <w:style w:type="character" w:customStyle="1" w:styleId="NotedebasdepageCar">
    <w:name w:val="Note de bas de page Car"/>
    <w:basedOn w:val="Policepardfaut"/>
    <w:link w:val="Notedebasdepage"/>
    <w:uiPriority w:val="99"/>
    <w:semiHidden/>
    <w:rsid w:val="00EC55C4"/>
    <w:rPr>
      <w:lang w:eastAsia="fr-FR"/>
    </w:rPr>
  </w:style>
  <w:style w:type="character" w:styleId="Appelnotedebasdep">
    <w:name w:val="footnote reference"/>
    <w:basedOn w:val="Policepardfaut"/>
    <w:uiPriority w:val="99"/>
    <w:semiHidden/>
    <w:unhideWhenUsed/>
    <w:rsid w:val="00EC55C4"/>
    <w:rPr>
      <w:vertAlign w:val="superscript"/>
    </w:rPr>
  </w:style>
  <w:style w:type="character" w:styleId="Textedelespacerserv">
    <w:name w:val="Placeholder Text"/>
    <w:basedOn w:val="Policepardfaut"/>
    <w:uiPriority w:val="99"/>
    <w:semiHidden/>
    <w:rsid w:val="00FA6B7F"/>
    <w:rPr>
      <w:color w:val="808080"/>
    </w:rPr>
  </w:style>
  <w:style w:type="table" w:styleId="Grilledutableau">
    <w:name w:val="Table Grid"/>
    <w:basedOn w:val="TableauNormal"/>
    <w:uiPriority w:val="59"/>
    <w:rsid w:val="00927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AB2893"/>
  </w:style>
  <w:style w:type="character" w:styleId="Marquedecommentaire">
    <w:name w:val="annotation reference"/>
    <w:basedOn w:val="Policepardfaut"/>
    <w:uiPriority w:val="99"/>
    <w:semiHidden/>
    <w:unhideWhenUsed/>
    <w:rsid w:val="00792BB4"/>
    <w:rPr>
      <w:sz w:val="16"/>
      <w:szCs w:val="16"/>
    </w:rPr>
  </w:style>
  <w:style w:type="paragraph" w:styleId="Commentaire">
    <w:name w:val="annotation text"/>
    <w:basedOn w:val="Normal"/>
    <w:link w:val="CommentaireCar"/>
    <w:uiPriority w:val="99"/>
    <w:semiHidden/>
    <w:unhideWhenUsed/>
    <w:rsid w:val="00792BB4"/>
  </w:style>
  <w:style w:type="character" w:customStyle="1" w:styleId="CommentaireCar">
    <w:name w:val="Commentaire Car"/>
    <w:basedOn w:val="Policepardfaut"/>
    <w:link w:val="Commentaire"/>
    <w:uiPriority w:val="99"/>
    <w:semiHidden/>
    <w:rsid w:val="00792BB4"/>
    <w:rPr>
      <w:lang w:eastAsia="fr-FR"/>
    </w:rPr>
  </w:style>
  <w:style w:type="paragraph" w:styleId="Objetducommentaire">
    <w:name w:val="annotation subject"/>
    <w:basedOn w:val="Commentaire"/>
    <w:next w:val="Commentaire"/>
    <w:link w:val="ObjetducommentaireCar"/>
    <w:uiPriority w:val="99"/>
    <w:semiHidden/>
    <w:unhideWhenUsed/>
    <w:rsid w:val="00792BB4"/>
    <w:rPr>
      <w:b/>
      <w:bCs/>
    </w:rPr>
  </w:style>
  <w:style w:type="character" w:customStyle="1" w:styleId="ObjetducommentaireCar">
    <w:name w:val="Objet du commentaire Car"/>
    <w:basedOn w:val="CommentaireCar"/>
    <w:link w:val="Objetducommentaire"/>
    <w:uiPriority w:val="99"/>
    <w:semiHidden/>
    <w:rsid w:val="00792BB4"/>
    <w:rPr>
      <w:b/>
      <w:bCs/>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34"/>
    <w:rPr>
      <w:lang w:eastAsia="fr-FR"/>
    </w:rPr>
  </w:style>
  <w:style w:type="paragraph" w:styleId="Titre1">
    <w:name w:val="heading 1"/>
    <w:basedOn w:val="Normal"/>
    <w:link w:val="Titre1Car"/>
    <w:qFormat/>
    <w:rsid w:val="0083604A"/>
    <w:pPr>
      <w:keepLines/>
      <w:numPr>
        <w:numId w:val="8"/>
      </w:numPr>
      <w:tabs>
        <w:tab w:val="left" w:pos="840"/>
      </w:tabs>
      <w:spacing w:before="480"/>
      <w:outlineLvl w:val="0"/>
    </w:pPr>
    <w:rPr>
      <w:b/>
      <w:caps/>
      <w:sz w:val="24"/>
    </w:rPr>
  </w:style>
  <w:style w:type="paragraph" w:styleId="Titre2">
    <w:name w:val="heading 2"/>
    <w:basedOn w:val="Normal"/>
    <w:link w:val="Titre2Car"/>
    <w:qFormat/>
    <w:rsid w:val="0083604A"/>
    <w:pPr>
      <w:numPr>
        <w:ilvl w:val="1"/>
        <w:numId w:val="8"/>
      </w:numPr>
      <w:tabs>
        <w:tab w:val="left" w:pos="839"/>
      </w:tabs>
      <w:spacing w:before="480"/>
      <w:outlineLvl w:val="1"/>
    </w:pPr>
    <w:rPr>
      <w:b/>
      <w:sz w:val="24"/>
    </w:rPr>
  </w:style>
  <w:style w:type="paragraph" w:styleId="Titre4">
    <w:name w:val="heading 4"/>
    <w:basedOn w:val="Normal"/>
    <w:link w:val="Titre4Car"/>
    <w:qFormat/>
    <w:rsid w:val="0083604A"/>
    <w:pPr>
      <w:keepLines/>
      <w:numPr>
        <w:ilvl w:val="3"/>
        <w:numId w:val="8"/>
      </w:numPr>
      <w:tabs>
        <w:tab w:val="left" w:pos="1200"/>
      </w:tabs>
      <w:spacing w:before="480"/>
      <w:outlineLvl w:val="3"/>
    </w:pPr>
    <w:rPr>
      <w:i/>
    </w:rPr>
  </w:style>
  <w:style w:type="paragraph" w:styleId="Titre5">
    <w:name w:val="heading 5"/>
    <w:basedOn w:val="Normal"/>
    <w:link w:val="Titre5Car"/>
    <w:qFormat/>
    <w:rsid w:val="0083604A"/>
    <w:pPr>
      <w:numPr>
        <w:ilvl w:val="4"/>
        <w:numId w:val="8"/>
      </w:numPr>
      <w:tabs>
        <w:tab w:val="left" w:pos="2040"/>
        <w:tab w:val="left" w:pos="2520"/>
      </w:tabs>
      <w:spacing w:before="480"/>
      <w:outlineLvl w:val="4"/>
    </w:pPr>
    <w:rPr>
      <w:b/>
      <w:caps/>
      <w:sz w:val="26"/>
    </w:rPr>
  </w:style>
  <w:style w:type="paragraph" w:styleId="Titre6">
    <w:name w:val="heading 6"/>
    <w:basedOn w:val="Normal"/>
    <w:next w:val="Retraitnormal"/>
    <w:link w:val="Titre6Car"/>
    <w:qFormat/>
    <w:rsid w:val="0083604A"/>
    <w:pPr>
      <w:numPr>
        <w:ilvl w:val="5"/>
        <w:numId w:val="8"/>
      </w:numPr>
      <w:spacing w:line="240" w:lineRule="exact"/>
      <w:outlineLvl w:val="5"/>
    </w:pPr>
    <w:rPr>
      <w:u w:val="single"/>
    </w:rPr>
  </w:style>
  <w:style w:type="paragraph" w:styleId="Titre7">
    <w:name w:val="heading 7"/>
    <w:basedOn w:val="Normal"/>
    <w:next w:val="Retraitnormal"/>
    <w:link w:val="Titre7Car"/>
    <w:qFormat/>
    <w:rsid w:val="0083604A"/>
    <w:pPr>
      <w:numPr>
        <w:ilvl w:val="6"/>
        <w:numId w:val="8"/>
      </w:numPr>
      <w:spacing w:line="240" w:lineRule="exact"/>
      <w:outlineLvl w:val="6"/>
    </w:pPr>
    <w:rPr>
      <w:i/>
    </w:rPr>
  </w:style>
  <w:style w:type="paragraph" w:styleId="Titre8">
    <w:name w:val="heading 8"/>
    <w:basedOn w:val="Normal"/>
    <w:next w:val="Retraitnormal"/>
    <w:link w:val="Titre8Car"/>
    <w:qFormat/>
    <w:rsid w:val="0083604A"/>
    <w:pPr>
      <w:numPr>
        <w:ilvl w:val="7"/>
        <w:numId w:val="8"/>
      </w:numPr>
      <w:spacing w:line="240" w:lineRule="exact"/>
      <w:outlineLvl w:val="7"/>
    </w:pPr>
    <w:rPr>
      <w:i/>
    </w:rPr>
  </w:style>
  <w:style w:type="paragraph" w:styleId="Titre9">
    <w:name w:val="heading 9"/>
    <w:basedOn w:val="Normal"/>
    <w:next w:val="Retraitnormal"/>
    <w:link w:val="Titre9Car"/>
    <w:qFormat/>
    <w:rsid w:val="0083604A"/>
    <w:pPr>
      <w:numPr>
        <w:ilvl w:val="8"/>
        <w:numId w:val="8"/>
      </w:numPr>
      <w:spacing w:line="240" w:lineRule="exact"/>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3604A"/>
    <w:rPr>
      <w:rFonts w:ascii="Arial" w:hAnsi="Arial" w:cs="Arial"/>
      <w:b/>
      <w:caps/>
      <w:sz w:val="24"/>
      <w:szCs w:val="22"/>
    </w:rPr>
  </w:style>
  <w:style w:type="character" w:customStyle="1" w:styleId="Titre2Car">
    <w:name w:val="Titre 2 Car"/>
    <w:basedOn w:val="Policepardfaut"/>
    <w:link w:val="Titre2"/>
    <w:rsid w:val="0083604A"/>
    <w:rPr>
      <w:rFonts w:ascii="Arial" w:hAnsi="Arial" w:cs="Arial"/>
      <w:b/>
      <w:sz w:val="24"/>
      <w:szCs w:val="22"/>
    </w:rPr>
  </w:style>
  <w:style w:type="character" w:customStyle="1" w:styleId="Titre4Car">
    <w:name w:val="Titre 4 Car"/>
    <w:basedOn w:val="Policepardfaut"/>
    <w:link w:val="Titre4"/>
    <w:rsid w:val="0083604A"/>
    <w:rPr>
      <w:rFonts w:ascii="Arial" w:hAnsi="Arial" w:cs="Arial"/>
      <w:i/>
      <w:sz w:val="22"/>
      <w:szCs w:val="22"/>
    </w:rPr>
  </w:style>
  <w:style w:type="character" w:customStyle="1" w:styleId="Titre5Car">
    <w:name w:val="Titre 5 Car"/>
    <w:basedOn w:val="Policepardfaut"/>
    <w:link w:val="Titre5"/>
    <w:rsid w:val="0083604A"/>
    <w:rPr>
      <w:rFonts w:ascii="Arial" w:hAnsi="Arial" w:cs="Arial"/>
      <w:b/>
      <w:caps/>
      <w:sz w:val="26"/>
      <w:szCs w:val="22"/>
    </w:rPr>
  </w:style>
  <w:style w:type="character" w:customStyle="1" w:styleId="Titre6Car">
    <w:name w:val="Titre 6 Car"/>
    <w:basedOn w:val="Policepardfaut"/>
    <w:link w:val="Titre6"/>
    <w:rsid w:val="0083604A"/>
    <w:rPr>
      <w:rFonts w:cs="Arial"/>
      <w:szCs w:val="22"/>
      <w:u w:val="single"/>
    </w:rPr>
  </w:style>
  <w:style w:type="paragraph" w:styleId="Retraitnormal">
    <w:name w:val="Normal Indent"/>
    <w:basedOn w:val="Normal"/>
    <w:uiPriority w:val="99"/>
    <w:semiHidden/>
    <w:unhideWhenUsed/>
    <w:rsid w:val="0083604A"/>
    <w:pPr>
      <w:ind w:left="708"/>
    </w:pPr>
  </w:style>
  <w:style w:type="character" w:customStyle="1" w:styleId="Titre7Car">
    <w:name w:val="Titre 7 Car"/>
    <w:basedOn w:val="Policepardfaut"/>
    <w:link w:val="Titre7"/>
    <w:rsid w:val="0083604A"/>
    <w:rPr>
      <w:rFonts w:cs="Arial"/>
      <w:i/>
      <w:szCs w:val="22"/>
    </w:rPr>
  </w:style>
  <w:style w:type="character" w:customStyle="1" w:styleId="Titre8Car">
    <w:name w:val="Titre 8 Car"/>
    <w:basedOn w:val="Policepardfaut"/>
    <w:link w:val="Titre8"/>
    <w:rsid w:val="0083604A"/>
    <w:rPr>
      <w:rFonts w:cs="Arial"/>
      <w:i/>
      <w:szCs w:val="22"/>
    </w:rPr>
  </w:style>
  <w:style w:type="character" w:customStyle="1" w:styleId="Titre9Car">
    <w:name w:val="Titre 9 Car"/>
    <w:basedOn w:val="Policepardfaut"/>
    <w:link w:val="Titre9"/>
    <w:rsid w:val="0083604A"/>
    <w:rPr>
      <w:rFonts w:cs="Arial"/>
      <w:i/>
      <w:szCs w:val="22"/>
    </w:rPr>
  </w:style>
  <w:style w:type="paragraph" w:styleId="Lgende">
    <w:name w:val="caption"/>
    <w:basedOn w:val="Normal"/>
    <w:next w:val="Normal"/>
    <w:link w:val="LgendeCar"/>
    <w:qFormat/>
    <w:rsid w:val="0083604A"/>
    <w:rPr>
      <w:b/>
      <w:bCs/>
      <w:lang w:val="en-GB"/>
    </w:rPr>
  </w:style>
  <w:style w:type="character" w:customStyle="1" w:styleId="LgendeCar">
    <w:name w:val="Légende Car"/>
    <w:link w:val="Lgende"/>
    <w:rsid w:val="0083604A"/>
    <w:rPr>
      <w:b/>
      <w:bCs/>
      <w:lang w:val="en-GB"/>
    </w:rPr>
  </w:style>
  <w:style w:type="paragraph" w:styleId="Titre">
    <w:name w:val="Title"/>
    <w:basedOn w:val="Normal"/>
    <w:link w:val="TitreCar"/>
    <w:qFormat/>
    <w:rsid w:val="0083604A"/>
    <w:pPr>
      <w:spacing w:before="240" w:after="60"/>
      <w:jc w:val="center"/>
      <w:outlineLvl w:val="0"/>
    </w:pPr>
    <w:rPr>
      <w:b/>
      <w:bCs/>
      <w:kern w:val="28"/>
      <w:sz w:val="32"/>
      <w:szCs w:val="32"/>
    </w:rPr>
  </w:style>
  <w:style w:type="character" w:customStyle="1" w:styleId="TitreCar">
    <w:name w:val="Titre Car"/>
    <w:basedOn w:val="Policepardfaut"/>
    <w:link w:val="Titre"/>
    <w:rsid w:val="0083604A"/>
    <w:rPr>
      <w:rFonts w:ascii="Arial" w:hAnsi="Arial" w:cs="Arial"/>
      <w:b/>
      <w:bCs/>
      <w:kern w:val="28"/>
      <w:sz w:val="32"/>
      <w:szCs w:val="32"/>
    </w:rPr>
  </w:style>
  <w:style w:type="paragraph" w:styleId="Sous-titre">
    <w:name w:val="Subtitle"/>
    <w:basedOn w:val="Normal"/>
    <w:next w:val="Normal"/>
    <w:link w:val="Sous-titreCar"/>
    <w:qFormat/>
    <w:rsid w:val="0083604A"/>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rsid w:val="0083604A"/>
    <w:rPr>
      <w:rFonts w:asciiTheme="majorHAnsi" w:eastAsiaTheme="majorEastAsia" w:hAnsiTheme="majorHAnsi" w:cstheme="majorBidi"/>
      <w:sz w:val="24"/>
      <w:szCs w:val="24"/>
    </w:rPr>
  </w:style>
  <w:style w:type="paragraph" w:styleId="Paragraphedeliste">
    <w:name w:val="List Paragraph"/>
    <w:basedOn w:val="Normal"/>
    <w:uiPriority w:val="34"/>
    <w:qFormat/>
    <w:rsid w:val="0083604A"/>
    <w:pPr>
      <w:ind w:left="708"/>
    </w:pPr>
  </w:style>
  <w:style w:type="paragraph" w:styleId="En-ttedetabledesmatires">
    <w:name w:val="TOC Heading"/>
    <w:basedOn w:val="Titre1"/>
    <w:next w:val="Normal"/>
    <w:uiPriority w:val="39"/>
    <w:qFormat/>
    <w:rsid w:val="0083604A"/>
    <w:pPr>
      <w:keepNext/>
      <w:numPr>
        <w:numId w:val="0"/>
      </w:numPr>
      <w:tabs>
        <w:tab w:val="clear" w:pos="840"/>
      </w:tabs>
      <w:spacing w:line="276" w:lineRule="auto"/>
      <w:outlineLvl w:val="9"/>
    </w:pPr>
    <w:rPr>
      <w:rFonts w:ascii="Cambria" w:hAnsi="Cambria"/>
      <w:bCs/>
      <w:caps w:val="0"/>
      <w:color w:val="365F91"/>
      <w:sz w:val="28"/>
      <w:szCs w:val="28"/>
    </w:rPr>
  </w:style>
  <w:style w:type="paragraph" w:customStyle="1" w:styleId="paragraphesimple">
    <w:name w:val="paragraphe simple"/>
    <w:basedOn w:val="Normal"/>
    <w:rsid w:val="00B56D34"/>
    <w:pPr>
      <w:spacing w:after="240" w:line="240" w:lineRule="exact"/>
      <w:jc w:val="both"/>
    </w:pPr>
    <w:rPr>
      <w:rFonts w:ascii="Arial" w:hAnsi="Arial"/>
      <w:sz w:val="22"/>
    </w:rPr>
  </w:style>
  <w:style w:type="character" w:styleId="Lienhypertexte">
    <w:name w:val="Hyperlink"/>
    <w:rsid w:val="00B56D34"/>
    <w:rPr>
      <w:color w:val="0000FF"/>
      <w:u w:val="single"/>
    </w:rPr>
  </w:style>
  <w:style w:type="paragraph" w:styleId="Textedebulles">
    <w:name w:val="Balloon Text"/>
    <w:basedOn w:val="Normal"/>
    <w:link w:val="TextedebullesCar"/>
    <w:uiPriority w:val="99"/>
    <w:semiHidden/>
    <w:unhideWhenUsed/>
    <w:rsid w:val="00900D03"/>
    <w:rPr>
      <w:rFonts w:ascii="Tahoma" w:hAnsi="Tahoma" w:cs="Tahoma"/>
      <w:sz w:val="16"/>
      <w:szCs w:val="16"/>
    </w:rPr>
  </w:style>
  <w:style w:type="character" w:customStyle="1" w:styleId="TextedebullesCar">
    <w:name w:val="Texte de bulles Car"/>
    <w:basedOn w:val="Policepardfaut"/>
    <w:link w:val="Textedebulles"/>
    <w:uiPriority w:val="99"/>
    <w:semiHidden/>
    <w:rsid w:val="00900D03"/>
    <w:rPr>
      <w:rFonts w:ascii="Tahoma" w:hAnsi="Tahoma" w:cs="Tahoma"/>
      <w:sz w:val="16"/>
      <w:szCs w:val="16"/>
      <w:lang w:eastAsia="fr-FR"/>
    </w:rPr>
  </w:style>
  <w:style w:type="paragraph" w:styleId="Notedebasdepage">
    <w:name w:val="footnote text"/>
    <w:basedOn w:val="Normal"/>
    <w:link w:val="NotedebasdepageCar"/>
    <w:uiPriority w:val="99"/>
    <w:semiHidden/>
    <w:unhideWhenUsed/>
    <w:rsid w:val="00EC55C4"/>
  </w:style>
  <w:style w:type="character" w:customStyle="1" w:styleId="NotedebasdepageCar">
    <w:name w:val="Note de bas de page Car"/>
    <w:basedOn w:val="Policepardfaut"/>
    <w:link w:val="Notedebasdepage"/>
    <w:uiPriority w:val="99"/>
    <w:semiHidden/>
    <w:rsid w:val="00EC55C4"/>
    <w:rPr>
      <w:lang w:eastAsia="fr-FR"/>
    </w:rPr>
  </w:style>
  <w:style w:type="character" w:styleId="Appelnotedebasdep">
    <w:name w:val="footnote reference"/>
    <w:basedOn w:val="Policepardfaut"/>
    <w:uiPriority w:val="99"/>
    <w:semiHidden/>
    <w:unhideWhenUsed/>
    <w:rsid w:val="00EC55C4"/>
    <w:rPr>
      <w:vertAlign w:val="superscript"/>
    </w:rPr>
  </w:style>
  <w:style w:type="character" w:styleId="Textedelespacerserv">
    <w:name w:val="Placeholder Text"/>
    <w:basedOn w:val="Policepardfaut"/>
    <w:uiPriority w:val="99"/>
    <w:semiHidden/>
    <w:rsid w:val="00FA6B7F"/>
    <w:rPr>
      <w:color w:val="808080"/>
    </w:rPr>
  </w:style>
  <w:style w:type="table" w:styleId="Grilledutableau">
    <w:name w:val="Table Grid"/>
    <w:basedOn w:val="TableauNormal"/>
    <w:uiPriority w:val="59"/>
    <w:rsid w:val="00927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AB2893"/>
  </w:style>
  <w:style w:type="character" w:styleId="Marquedecommentaire">
    <w:name w:val="annotation reference"/>
    <w:basedOn w:val="Policepardfaut"/>
    <w:uiPriority w:val="99"/>
    <w:semiHidden/>
    <w:unhideWhenUsed/>
    <w:rsid w:val="00792BB4"/>
    <w:rPr>
      <w:sz w:val="16"/>
      <w:szCs w:val="16"/>
    </w:rPr>
  </w:style>
  <w:style w:type="paragraph" w:styleId="Commentaire">
    <w:name w:val="annotation text"/>
    <w:basedOn w:val="Normal"/>
    <w:link w:val="CommentaireCar"/>
    <w:uiPriority w:val="99"/>
    <w:semiHidden/>
    <w:unhideWhenUsed/>
    <w:rsid w:val="00792BB4"/>
  </w:style>
  <w:style w:type="character" w:customStyle="1" w:styleId="CommentaireCar">
    <w:name w:val="Commentaire Car"/>
    <w:basedOn w:val="Policepardfaut"/>
    <w:link w:val="Commentaire"/>
    <w:uiPriority w:val="99"/>
    <w:semiHidden/>
    <w:rsid w:val="00792BB4"/>
    <w:rPr>
      <w:lang w:eastAsia="fr-FR"/>
    </w:rPr>
  </w:style>
  <w:style w:type="paragraph" w:styleId="Objetducommentaire">
    <w:name w:val="annotation subject"/>
    <w:basedOn w:val="Commentaire"/>
    <w:next w:val="Commentaire"/>
    <w:link w:val="ObjetducommentaireCar"/>
    <w:uiPriority w:val="99"/>
    <w:semiHidden/>
    <w:unhideWhenUsed/>
    <w:rsid w:val="00792BB4"/>
    <w:rPr>
      <w:b/>
      <w:bCs/>
    </w:rPr>
  </w:style>
  <w:style w:type="character" w:customStyle="1" w:styleId="ObjetducommentaireCar">
    <w:name w:val="Objet du commentaire Car"/>
    <w:basedOn w:val="CommentaireCar"/>
    <w:link w:val="Objetducommentaire"/>
    <w:uiPriority w:val="99"/>
    <w:semiHidden/>
    <w:rsid w:val="00792BB4"/>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Mou06</b:Tag>
    <b:SourceType>ArticleInAPeriodical</b:SourceType>
    <b:Guid>{D1F5A664-B10D-4C18-A9BF-E7814CFF0A80}</b:Guid>
    <b:Author>
      <b:Author>
        <b:NameList>
          <b:Person>
            <b:Last>Mouelhi</b:Last>
          </b:Person>
        </b:NameList>
      </b:Author>
    </b:Author>
    <b:Title>Stepwise development of a two-parameter monthly water balance model</b:Title>
    <b:PeriodicalTitle>Journal of Hydrology, 318</b:PeriodicalTitle>
    <b:Year>2006</b:Year>
    <b:Pages>200-214</b:Pages>
    <b:RefOrder>7</b:RefOrder>
  </b:Source>
  <b:Source>
    <b:Tag>Per07</b:Tag>
    <b:SourceType>Report</b:SourceType>
    <b:Guid>{9F61B6B1-B3C5-458A-B984-A899287F5661}</b:Guid>
    <b:Title>Les modèles hydrologiques du Génie Rural (GR)</b:Title>
    <b:Year>2007</b:Year>
    <b:Author>
      <b:Author>
        <b:NameList>
          <b:Person>
            <b:Last>Perrin</b:Last>
            <b:First>C.</b:First>
          </b:Person>
        </b:NameList>
      </b:Author>
    </b:Author>
    <b:RefOrder>8</b:RefOrder>
  </b:Source>
  <b:Source>
    <b:Tag>Nas</b:Tag>
    <b:SourceType>JournalArticle</b:SourceType>
    <b:Guid>{CD96BE2A-038A-482A-8588-D69AD48A2E66}</b:Guid>
    <b:Title>River flow forecasting trough conceptual models. Part 1 - A discussion of principles</b:Title>
    <b:Author>
      <b:Author>
        <b:NameList>
          <b:Person>
            <b:Last>Nash</b:Last>
          </b:Person>
          <b:Person>
            <b:Last>Sutcliffe</b:Last>
          </b:Person>
        </b:NameList>
      </b:Author>
    </b:Author>
    <b:JournalName>Journal of Hydrology, 27 (3)</b:JournalName>
    <b:Pages>282-290</b:Pages>
    <b:Year>1970</b:Year>
    <b:RefOrder>9</b:RefOrder>
  </b:Source>
  <b:Source>
    <b:Tag>San04</b:Tag>
    <b:SourceType>Book</b:SourceType>
    <b:Guid>{FBA0D527-6633-4DAE-A4AA-2EC96774A6FA}</b:Guid>
    <b:Title>Variabilité hydroclimatique et impacts sur les ressources en eau de grands bassins hydrographiques en zone soudano-sahélienne. Thèse de Doctorat de l'Université de Montpellier II (France)</b:Title>
    <b:Year>2004</b:Year>
    <b:Author>
      <b:Author>
        <b:NameList>
          <b:Person>
            <b:Last>Ardoin-Bardin</b:Last>
            <b:First>S.</b:First>
          </b:Person>
        </b:NameList>
      </b:Author>
    </b:Author>
    <b:Pages>440</b:Pages>
    <b:RefOrder>3</b:RefOrder>
  </b:Source>
  <b:Source>
    <b:Tag>Ser93</b:Tag>
    <b:SourceType>ArticleInAPeriodical</b:SourceType>
    <b:Guid>{666EB72B-F6F4-4903-BFD5-52D1836506F0}</b:Guid>
    <b:Title>Incidences de l'instabilité des ressources en eau sur la gestion d'un système d'eau aménagé. Cas du Sassandra en Côte d'Ivoire</b:Title>
    <b:Year>1993</b:Year>
    <b:Publisher>IAHS Publi.</b:Publisher>
    <b:Author>
      <b:Author>
        <b:NameList>
          <b:Person>
            <b:Last>Servat</b:Last>
            <b:First>Eric</b:First>
          </b:Person>
          <b:Person>
            <b:Last>Sakho</b:Last>
            <b:First>M</b:First>
          </b:Person>
        </b:NameList>
      </b:Author>
      <b:Editor>
        <b:NameList>
          <b:Person>
            <b:Last>Proceceedings of the Yokohama Symposium</b:Last>
            <b:First>July</b:First>
            <b:Middle>1993</b:Middle>
          </b:Person>
        </b:NameList>
      </b:Editor>
    </b:Author>
    <b:PeriodicalTitle>Hydrology of Warm Humid Regions</b:PeriodicalTitle>
    <b:Issue>216</b:Issue>
    <b:RefOrder>1</b:RefOrder>
  </b:Source>
  <b:Source>
    <b:Tag>Yao12</b:Tag>
    <b:SourceType>ArticleInAPeriodical</b:SourceType>
    <b:Guid>{DC05B954-69A4-478C-9832-02359FB0C05E}</b:Guid>
    <b:Author>
      <b:Author>
        <b:NameList>
          <b:Person>
            <b:Last>Yao</b:Last>
            <b:First>A.B</b:First>
          </b:Person>
          <b:Person>
            <b:Last>Goula</b:Last>
            <b:First>B.T.A</b:First>
          </b:Person>
          <b:Person>
            <b:Last>Kouadio</b:Last>
            <b:First>Z.A.</b:First>
          </b:Person>
          <b:Person>
            <b:Last>Kouakou</b:Last>
            <b:First>K.E.</b:First>
          </b:Person>
          <b:Person>
            <b:Last>Kane</b:Last>
            <b:First>A</b:First>
          </b:Person>
          <b:Person>
            <b:Last>Sambou</b:Last>
            <b:First>S</b:First>
          </b:Person>
        </b:NameList>
      </b:Author>
    </b:Author>
    <b:Title>Analyse de la variabilité climatique et quantification des ressources en eau en zone tropicale humide : cas du bassin versant de la Lobo au centre-ouest de la Côte d'Ivoire</b:Title>
    <b:PeriodicalTitle>Rev. Ivoir. Sci. Technol</b:PeriodicalTitle>
    <b:Year>2012</b:Year>
    <b:Pages>136-157</b:Pages>
    <b:Volume>19</b:Volume>
    <b:RefOrder>4</b:RefOrder>
  </b:Source>
  <b:Source>
    <b:Tag>Aka96</b:Tag>
    <b:SourceType>ArticleInAPeriodical</b:SourceType>
    <b:Guid>{2C50764E-A10C-4825-B470-4CD339F168B2}</b:Guid>
    <b:Title>Analyse statistique de l'évolution des écoulements en Côte d'Ivoire</b:Title>
    <b:Year>1996</b:Year>
    <b:Author>
      <b:Author>
        <b:NameList>
          <b:Person>
            <b:Last>Aka</b:Last>
            <b:First>A</b:First>
          </b:Person>
          <b:Person>
            <b:Last>Kouame</b:Last>
            <b:First>B</b:First>
          </b:Person>
          <b:Person>
            <b:Last>Paturel</b:Last>
            <b:First>J.E</b:First>
          </b:Person>
          <b:Person>
            <b:Last>Servat</b:Last>
            <b:First>E</b:First>
          </b:Person>
          <b:Person>
            <b:Last>Lubes</b:Last>
            <b:First>H</b:First>
          </b:Person>
          <b:Person>
            <b:Last>Masson</b:Last>
            <b:First>J.M</b:First>
          </b:Person>
        </b:NameList>
      </b:Author>
    </b:Author>
    <b:Publisher>IAHS Publ no. 238</b:Publisher>
    <b:ConferenceName>L'hydrologie tropicale: géoscience et outil pour le développement</b:ConferenceName>
    <b:Volume>238</b:Volume>
    <b:City>Actes de la conférence de Paris, mai 1995</b:City>
    <b:PeriodicalTitle>L'hydrologie tropicale: géoscience et outil pour le développement (Actes de la conférence de Paris, mai 1995). IAHS Publ. no. 238</b:PeriodicalTitle>
    <b:RefOrder>2</b:RefOrder>
  </b:Source>
  <b:Source>
    <b:Tag>Kle86</b:Tag>
    <b:SourceType>ArticleInAPeriodical</b:SourceType>
    <b:Guid>{F857D63B-F222-4C2F-A64D-C0636D3358B3}</b:Guid>
    <b:Author>
      <b:Author>
        <b:NameList>
          <b:Person>
            <b:Last>Klemes</b:Last>
            <b:First>V</b:First>
          </b:Person>
        </b:NameList>
      </b:Author>
    </b:Author>
    <b:Title>Operational testing of hydrologic simulation models</b:Title>
    <b:PeriodicalTitle>Hydrological Sciences Journal</b:PeriodicalTitle>
    <b:Year>1986</b:Year>
    <b:Pages>13-24</b:Pages>
    <b:Issue>31</b:Issue>
    <b:RefOrder>10</b:RefOrder>
  </b:Source>
  <b:Source>
    <b:Tag>Ard12</b:Tag>
    <b:SourceType>ArticleInAPeriodical</b:SourceType>
    <b:Guid>{AC734D5F-96D4-494E-8266-2C8C6B58FD43}</b:Guid>
    <b:Author>
      <b:Author>
        <b:NameList>
          <b:Person>
            <b:Last>Ardoin-Bardin</b:Last>
            <b:First>S.</b:First>
          </b:Person>
        </b:NameList>
      </b:Author>
    </b:Author>
    <b:Title>Using general circulation model outputs to assess impacts of climate change on runoff for large hydrologicl catchments in West Africa</b:Title>
    <b:PeriodicalTitle>Hydrological Sciences Journal, 54</b:PeriodicalTitle>
    <b:Year>2009</b:Year>
    <b:Pages>77-89</b:Pages>
    <b:RefOrder>11</b:RefOrder>
  </b:Source>
  <b:Source>
    <b:Tag>New</b:Tag>
    <b:SourceType>ArticleInAPeriodical</b:SourceType>
    <b:Guid>{D951130A-FEE7-447F-95E4-6A8B1276BBE4}</b:Guid>
    <b:Author>
      <b:Author>
        <b:NameList>
          <b:Person>
            <b:Last>New</b:Last>
            <b:First>M</b:First>
          </b:Person>
          <b:Person>
            <b:Last>Hulme</b:Last>
            <b:First>G</b:First>
          </b:Person>
          <b:Person>
            <b:Last>Jones</b:Last>
            <b:First>P.</b:First>
          </b:Person>
        </b:NameList>
      </b:Author>
    </b:Author>
    <b:Title>Representing 20th century space-time climate variability. II: Development of 1901-1996 monthly terrestrial climate fields</b:Title>
    <b:PeriodicalTitle>Journal of Climate</b:PeriodicalTitle>
    <b:Pages>2217-2238</b:Pages>
    <b:Volume>13</b:Volume>
    <b:Year>2000</b:Year>
    <b:RefOrder>5</b:RefOrder>
  </b:Source>
  <b:Source>
    <b:Tag>Smi</b:Tag>
    <b:SourceType>Book</b:SourceType>
    <b:Guid>{1F6DB412-8920-47CD-813B-E6A3D0141B8A}</b:Guid>
    <b:Title>Expert consultation on revision of FAO methodologies for crop water requirements.</b:Title>
    <b:Author>
      <b:Author>
        <b:NameList>
          <b:Person>
            <b:Last>Smith</b:Last>
            <b:First>M</b:First>
          </b:Person>
        </b:NameList>
      </b:Author>
    </b:Author>
    <b:Year>1992</b:Year>
    <b:Institution>UN FAO Land and Water Development Division</b:Institution>
    <b:Publisher>Land and Water Development Division, UN FAO, Rome, Italy</b:Publisher>
    <b:RefOrder>6</b:RefOrder>
  </b:Source>
</b:Sources>
</file>

<file path=customXml/itemProps1.xml><?xml version="1.0" encoding="utf-8"?>
<ds:datastoreItem xmlns:ds="http://schemas.openxmlformats.org/officeDocument/2006/customXml" ds:itemID="{4C447340-8F89-433A-B2EA-CC79D1A3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6432</Words>
  <Characters>35382</Characters>
  <Application>Microsoft Office Word</Application>
  <DocSecurity>0</DocSecurity>
  <Lines>294</Lines>
  <Paragraphs>83</Paragraphs>
  <ScaleCrop>false</ScaleCrop>
  <HeadingPairs>
    <vt:vector size="2" baseType="variant">
      <vt:variant>
        <vt:lpstr>Titre</vt:lpstr>
      </vt:variant>
      <vt:variant>
        <vt:i4>1</vt:i4>
      </vt:variant>
    </vt:vector>
  </HeadingPairs>
  <TitlesOfParts>
    <vt:vector size="1" baseType="lpstr">
      <vt:lpstr/>
    </vt:vector>
  </TitlesOfParts>
  <Company>Tractebel Engineering France</Company>
  <LinksUpToDate>false</LinksUpToDate>
  <CharactersWithSpaces>41731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BOURGIN Pierre-Yves</dc:creator>
  <cp:lastModifiedBy>BOURGIN Pierre-Yves</cp:lastModifiedBy>
  <cp:revision>4</cp:revision>
  <cp:lastPrinted>2015-09-30T17:28:00Z</cp:lastPrinted>
  <dcterms:created xsi:type="dcterms:W3CDTF">2015-10-01T08:14:00Z</dcterms:created>
  <dcterms:modified xsi:type="dcterms:W3CDTF">2015-10-01T08:23:00Z</dcterms:modified>
</cp:coreProperties>
</file>