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F1" w:rsidRPr="00BC3192" w:rsidRDefault="001F2CF1" w:rsidP="0036788A">
      <w:pPr>
        <w:spacing w:after="120" w:line="240" w:lineRule="auto"/>
        <w:jc w:val="center"/>
        <w:rPr>
          <w:rFonts w:ascii="Times New Roman" w:hAnsi="Times New Roman"/>
          <w:b/>
          <w:sz w:val="24"/>
          <w:szCs w:val="24"/>
        </w:rPr>
      </w:pPr>
      <w:r w:rsidRPr="00BC3192">
        <w:rPr>
          <w:rFonts w:ascii="Times New Roman" w:hAnsi="Times New Roman"/>
          <w:b/>
          <w:sz w:val="24"/>
          <w:szCs w:val="24"/>
        </w:rPr>
        <w:t xml:space="preserve">Application de la Modélisation à des Situations Futures et Performances Comparées des Modèles : </w:t>
      </w:r>
      <w:r w:rsidR="00952F51" w:rsidRPr="00BC3192">
        <w:rPr>
          <w:rFonts w:ascii="Times New Roman" w:hAnsi="Times New Roman"/>
          <w:b/>
          <w:sz w:val="24"/>
          <w:szCs w:val="24"/>
        </w:rPr>
        <w:t>S</w:t>
      </w:r>
      <w:r w:rsidRPr="00BC3192">
        <w:rPr>
          <w:rFonts w:ascii="Times New Roman" w:hAnsi="Times New Roman"/>
          <w:b/>
          <w:sz w:val="24"/>
          <w:szCs w:val="24"/>
        </w:rPr>
        <w:t>ous-bassins du Haut Niger à</w:t>
      </w:r>
      <w:r w:rsidR="006365B4" w:rsidRPr="00BC3192">
        <w:rPr>
          <w:rFonts w:ascii="Times New Roman" w:hAnsi="Times New Roman"/>
          <w:b/>
          <w:sz w:val="24"/>
          <w:szCs w:val="24"/>
        </w:rPr>
        <w:t xml:space="preserve"> Koulikoro</w:t>
      </w:r>
    </w:p>
    <w:p w:rsidR="006B7820" w:rsidRPr="00BC3192" w:rsidRDefault="008F2E0E" w:rsidP="00556916">
      <w:pPr>
        <w:spacing w:after="0" w:line="360" w:lineRule="auto"/>
        <w:jc w:val="both"/>
        <w:rPr>
          <w:rFonts w:ascii="Times New Roman" w:hAnsi="Times New Roman"/>
          <w:sz w:val="20"/>
          <w:szCs w:val="20"/>
        </w:rPr>
      </w:pPr>
      <w:r w:rsidRPr="00BC3192">
        <w:rPr>
          <w:rFonts w:ascii="Times New Roman" w:hAnsi="Times New Roman"/>
          <w:sz w:val="20"/>
          <w:szCs w:val="20"/>
        </w:rPr>
        <w:t>S</w:t>
      </w:r>
      <w:r w:rsidR="006B7820" w:rsidRPr="00BC3192">
        <w:rPr>
          <w:rFonts w:ascii="Times New Roman" w:hAnsi="Times New Roman"/>
          <w:sz w:val="20"/>
          <w:szCs w:val="20"/>
        </w:rPr>
        <w:t>alif</w:t>
      </w:r>
      <w:r w:rsidRPr="00BC3192">
        <w:rPr>
          <w:rFonts w:ascii="Times New Roman" w:hAnsi="Times New Roman"/>
          <w:sz w:val="20"/>
          <w:szCs w:val="20"/>
        </w:rPr>
        <w:t xml:space="preserve"> Koné</w:t>
      </w:r>
      <w:r w:rsidR="006B7820" w:rsidRPr="00BC3192">
        <w:rPr>
          <w:rFonts w:ascii="Times New Roman" w:hAnsi="Times New Roman"/>
          <w:sz w:val="20"/>
          <w:szCs w:val="20"/>
        </w:rPr>
        <w:t xml:space="preserve"> </w:t>
      </w:r>
      <w:r w:rsidR="006B7820" w:rsidRPr="00BC3192">
        <w:rPr>
          <w:rFonts w:ascii="Times New Roman" w:hAnsi="Times New Roman"/>
          <w:sz w:val="20"/>
          <w:szCs w:val="20"/>
          <w:vertAlign w:val="superscript"/>
        </w:rPr>
        <w:t xml:space="preserve">1, </w:t>
      </w:r>
      <w:r w:rsidR="00DD44C9" w:rsidRPr="00BC3192">
        <w:rPr>
          <w:rFonts w:ascii="Times New Roman" w:hAnsi="Times New Roman"/>
          <w:sz w:val="20"/>
          <w:szCs w:val="20"/>
          <w:vertAlign w:val="superscript"/>
        </w:rPr>
        <w:t>2</w:t>
      </w:r>
      <w:r w:rsidRPr="00BC3192">
        <w:rPr>
          <w:rFonts w:ascii="Times New Roman" w:hAnsi="Times New Roman"/>
          <w:sz w:val="20"/>
          <w:szCs w:val="20"/>
        </w:rPr>
        <w:t>, G</w:t>
      </w:r>
      <w:r w:rsidR="006B7820" w:rsidRPr="00BC3192">
        <w:rPr>
          <w:rFonts w:ascii="Times New Roman" w:hAnsi="Times New Roman"/>
          <w:sz w:val="20"/>
          <w:szCs w:val="20"/>
        </w:rPr>
        <w:t>il</w:t>
      </w:r>
      <w:r w:rsidRPr="00BC3192">
        <w:rPr>
          <w:rFonts w:ascii="Times New Roman" w:hAnsi="Times New Roman"/>
          <w:sz w:val="20"/>
          <w:szCs w:val="20"/>
        </w:rPr>
        <w:t xml:space="preserve"> Mahé</w:t>
      </w:r>
      <w:r w:rsidR="006B7820" w:rsidRPr="00BC3192">
        <w:rPr>
          <w:rFonts w:ascii="Times New Roman" w:hAnsi="Times New Roman"/>
          <w:sz w:val="20"/>
          <w:szCs w:val="20"/>
        </w:rPr>
        <w:t xml:space="preserve"> </w:t>
      </w:r>
      <w:r w:rsidR="00DD44C9" w:rsidRPr="00BC3192">
        <w:rPr>
          <w:rFonts w:ascii="Times New Roman" w:hAnsi="Times New Roman"/>
          <w:sz w:val="20"/>
          <w:szCs w:val="20"/>
          <w:vertAlign w:val="superscript"/>
        </w:rPr>
        <w:t>3</w:t>
      </w:r>
      <w:r w:rsidRPr="00BC3192">
        <w:rPr>
          <w:rFonts w:ascii="Times New Roman" w:hAnsi="Times New Roman"/>
          <w:sz w:val="20"/>
          <w:szCs w:val="20"/>
        </w:rPr>
        <w:t>, F</w:t>
      </w:r>
      <w:r w:rsidR="006B7820" w:rsidRPr="00BC3192">
        <w:rPr>
          <w:rFonts w:ascii="Times New Roman" w:hAnsi="Times New Roman"/>
          <w:sz w:val="20"/>
          <w:szCs w:val="20"/>
        </w:rPr>
        <w:t>atogoma</w:t>
      </w:r>
      <w:r w:rsidRPr="00BC3192">
        <w:rPr>
          <w:rFonts w:ascii="Times New Roman" w:hAnsi="Times New Roman"/>
          <w:sz w:val="20"/>
          <w:szCs w:val="20"/>
        </w:rPr>
        <w:t xml:space="preserve"> Bamba</w:t>
      </w:r>
      <w:r w:rsidR="006B7820" w:rsidRPr="00BC3192">
        <w:rPr>
          <w:rFonts w:ascii="Times New Roman" w:hAnsi="Times New Roman"/>
          <w:sz w:val="20"/>
          <w:szCs w:val="20"/>
        </w:rPr>
        <w:t xml:space="preserve"> </w:t>
      </w:r>
      <w:r w:rsidR="006B7820" w:rsidRPr="00BC3192">
        <w:rPr>
          <w:rFonts w:ascii="Times New Roman" w:hAnsi="Times New Roman"/>
          <w:sz w:val="20"/>
          <w:szCs w:val="20"/>
          <w:vertAlign w:val="superscript"/>
        </w:rPr>
        <w:t>1</w:t>
      </w:r>
    </w:p>
    <w:p w:rsidR="006B7820" w:rsidRPr="00BC3192" w:rsidRDefault="006B7820" w:rsidP="006B7820">
      <w:pPr>
        <w:spacing w:after="0" w:line="240" w:lineRule="auto"/>
        <w:jc w:val="both"/>
        <w:rPr>
          <w:rFonts w:ascii="Times New Roman" w:hAnsi="Times New Roman"/>
          <w:sz w:val="20"/>
          <w:szCs w:val="20"/>
        </w:rPr>
      </w:pPr>
      <w:r w:rsidRPr="00BC3192">
        <w:rPr>
          <w:rFonts w:ascii="Times New Roman" w:hAnsi="Times New Roman"/>
          <w:sz w:val="20"/>
          <w:szCs w:val="20"/>
          <w:vertAlign w:val="superscript"/>
        </w:rPr>
        <w:t xml:space="preserve">1 </w:t>
      </w:r>
      <w:r w:rsidRPr="00BC3192">
        <w:rPr>
          <w:rFonts w:ascii="Times New Roman" w:hAnsi="Times New Roman"/>
          <w:sz w:val="20"/>
          <w:szCs w:val="20"/>
        </w:rPr>
        <w:t>Département de Géologie, École Nationale d’Ingénieu</w:t>
      </w:r>
      <w:r w:rsidR="00DD44C9" w:rsidRPr="00BC3192">
        <w:rPr>
          <w:rFonts w:ascii="Times New Roman" w:hAnsi="Times New Roman"/>
          <w:sz w:val="20"/>
          <w:szCs w:val="20"/>
        </w:rPr>
        <w:t>rs -Abderhamane Baba Touré, Bamako, Mali</w:t>
      </w:r>
    </w:p>
    <w:p w:rsidR="006B7820" w:rsidRPr="00BC3192" w:rsidRDefault="006B7820" w:rsidP="006B7820">
      <w:pPr>
        <w:spacing w:after="0" w:line="240" w:lineRule="auto"/>
        <w:jc w:val="both"/>
        <w:rPr>
          <w:rFonts w:ascii="Times New Roman" w:hAnsi="Times New Roman"/>
          <w:sz w:val="20"/>
          <w:szCs w:val="20"/>
        </w:rPr>
      </w:pPr>
      <w:r w:rsidRPr="00BC3192">
        <w:rPr>
          <w:rFonts w:ascii="Times New Roman" w:hAnsi="Times New Roman"/>
          <w:sz w:val="20"/>
          <w:szCs w:val="20"/>
          <w:vertAlign w:val="superscript"/>
        </w:rPr>
        <w:t xml:space="preserve">2 </w:t>
      </w:r>
      <w:r w:rsidRPr="00BC3192">
        <w:rPr>
          <w:rFonts w:ascii="Times New Roman" w:hAnsi="Times New Roman"/>
          <w:sz w:val="20"/>
          <w:szCs w:val="20"/>
        </w:rPr>
        <w:t xml:space="preserve">Doctorant à l’Institut Supérieur de Formation et de Recherche Appliquée (ISFRA), Bamako, Mali </w:t>
      </w:r>
    </w:p>
    <w:p w:rsidR="00DD44C9" w:rsidRPr="00BC3192" w:rsidRDefault="00556916" w:rsidP="00DD44C9">
      <w:pPr>
        <w:spacing w:after="0" w:line="240" w:lineRule="auto"/>
        <w:jc w:val="both"/>
        <w:rPr>
          <w:rFonts w:ascii="Times New Roman" w:hAnsi="Times New Roman"/>
          <w:sz w:val="20"/>
          <w:szCs w:val="20"/>
        </w:rPr>
      </w:pPr>
      <w:r w:rsidRPr="00BC3192">
        <w:rPr>
          <w:rFonts w:ascii="Times New Roman" w:hAnsi="Times New Roman"/>
          <w:sz w:val="20"/>
          <w:szCs w:val="20"/>
          <w:vertAlign w:val="superscript"/>
        </w:rPr>
        <w:t xml:space="preserve">3 </w:t>
      </w:r>
      <w:r w:rsidRPr="00BC3192">
        <w:rPr>
          <w:rFonts w:ascii="Times New Roman" w:hAnsi="Times New Roman"/>
          <w:sz w:val="20"/>
          <w:szCs w:val="20"/>
        </w:rPr>
        <w:t xml:space="preserve">Institut de Recherche pour le Développement/ Laboratoire HydroSciences, Montpellier, France </w:t>
      </w:r>
    </w:p>
    <w:p w:rsidR="00DD44C9" w:rsidRPr="00BC3192" w:rsidRDefault="001F2CF1" w:rsidP="00DD44C9">
      <w:pPr>
        <w:spacing w:before="120" w:after="120"/>
        <w:jc w:val="both"/>
        <w:rPr>
          <w:rFonts w:ascii="Times New Roman" w:hAnsi="Times New Roman"/>
          <w:sz w:val="20"/>
          <w:szCs w:val="20"/>
        </w:rPr>
      </w:pPr>
      <w:r w:rsidRPr="0000569F">
        <w:rPr>
          <w:rFonts w:ascii="Times New Roman" w:hAnsi="Times New Roman"/>
          <w:sz w:val="20"/>
          <w:szCs w:val="20"/>
        </w:rPr>
        <w:t>skonemaat@yahoo.fr</w:t>
      </w:r>
    </w:p>
    <w:p w:rsidR="00AC146F" w:rsidRDefault="000D79A9" w:rsidP="000D79A9">
      <w:pPr>
        <w:spacing w:after="0" w:line="360" w:lineRule="auto"/>
        <w:jc w:val="both"/>
        <w:rPr>
          <w:rFonts w:ascii="Times New Roman" w:hAnsi="Times New Roman"/>
          <w:sz w:val="20"/>
          <w:szCs w:val="20"/>
        </w:rPr>
      </w:pPr>
      <w:r w:rsidRPr="00BC3192">
        <w:rPr>
          <w:rFonts w:ascii="Times New Roman" w:hAnsi="Times New Roman"/>
          <w:sz w:val="20"/>
          <w:szCs w:val="20"/>
        </w:rPr>
        <w:t>Nous présentons la performance comparée des modèles GR2M et SimulHyd (une variante de GR2M)</w:t>
      </w:r>
      <w:r w:rsidR="00832BEF">
        <w:rPr>
          <w:rFonts w:ascii="Times New Roman" w:hAnsi="Times New Roman"/>
          <w:sz w:val="20"/>
          <w:szCs w:val="20"/>
        </w:rPr>
        <w:t xml:space="preserve">, successivement, </w:t>
      </w:r>
      <w:r w:rsidRPr="00BC3192">
        <w:rPr>
          <w:rFonts w:ascii="Times New Roman" w:hAnsi="Times New Roman"/>
          <w:sz w:val="20"/>
          <w:szCs w:val="20"/>
        </w:rPr>
        <w:t xml:space="preserve">à simuler des débits maximum, à faire des projections futures à trois horizons différents (2010-2039, 2040-2069, et 2070-2099), et à reproduire un coefficient de tarissement sur deux périodes contrastées (hautes et basses eaux). </w:t>
      </w:r>
      <w:r w:rsidR="001F2CF1" w:rsidRPr="00BC3192">
        <w:rPr>
          <w:rFonts w:ascii="Times New Roman" w:hAnsi="Times New Roman"/>
          <w:sz w:val="20"/>
          <w:szCs w:val="20"/>
        </w:rPr>
        <w:t>Sur un échantillon de quinze sous-bassins versants du haut Niger à</w:t>
      </w:r>
      <w:r w:rsidRPr="00BC3192">
        <w:rPr>
          <w:rFonts w:ascii="Times New Roman" w:hAnsi="Times New Roman"/>
          <w:sz w:val="20"/>
          <w:szCs w:val="20"/>
        </w:rPr>
        <w:t xml:space="preserve"> Koulikoro (inclus</w:t>
      </w:r>
      <w:r w:rsidR="001F2CF1" w:rsidRPr="00BC3192">
        <w:rPr>
          <w:rFonts w:ascii="Times New Roman" w:hAnsi="Times New Roman"/>
          <w:sz w:val="20"/>
          <w:szCs w:val="20"/>
        </w:rPr>
        <w:t xml:space="preserve">), deux approches complémentaires sont adoptées, l’une dite </w:t>
      </w:r>
      <w:r w:rsidR="001F2CF1" w:rsidRPr="00BC3192">
        <w:rPr>
          <w:rFonts w:ascii="Times New Roman" w:hAnsi="Times New Roman"/>
          <w:i/>
          <w:sz w:val="20"/>
          <w:szCs w:val="20"/>
        </w:rPr>
        <w:t>régionale</w:t>
      </w:r>
      <w:r w:rsidR="001F2CF1" w:rsidRPr="00BC3192">
        <w:rPr>
          <w:rFonts w:ascii="Times New Roman" w:hAnsi="Times New Roman"/>
          <w:sz w:val="20"/>
          <w:szCs w:val="20"/>
        </w:rPr>
        <w:t xml:space="preserve"> où la valeur la plus élevée de la série de débits observés de chaque exutoire de sou</w:t>
      </w:r>
      <w:bookmarkStart w:id="0" w:name="_GoBack"/>
      <w:bookmarkEnd w:id="0"/>
      <w:r w:rsidR="001F2CF1" w:rsidRPr="00BC3192">
        <w:rPr>
          <w:rFonts w:ascii="Times New Roman" w:hAnsi="Times New Roman"/>
          <w:sz w:val="20"/>
          <w:szCs w:val="20"/>
        </w:rPr>
        <w:t xml:space="preserve">s-bassin est considérée, et l’autre dite </w:t>
      </w:r>
      <w:r w:rsidR="001F2CF1" w:rsidRPr="00BC3192">
        <w:rPr>
          <w:rFonts w:ascii="Times New Roman" w:hAnsi="Times New Roman"/>
          <w:i/>
          <w:sz w:val="20"/>
          <w:szCs w:val="20"/>
        </w:rPr>
        <w:t>ponctuelle</w:t>
      </w:r>
      <w:r w:rsidR="001F2CF1" w:rsidRPr="00BC3192">
        <w:rPr>
          <w:rFonts w:ascii="Times New Roman" w:hAnsi="Times New Roman"/>
          <w:sz w:val="20"/>
          <w:szCs w:val="20"/>
        </w:rPr>
        <w:t xml:space="preserve">, et qui concerne quinze valeurs de débits maximum à la station de Koulikoro sur la période 1907-1999. Le constat, partant de la première approche </w:t>
      </w:r>
      <w:r w:rsidR="001F2CF1" w:rsidRPr="00BC3192">
        <w:rPr>
          <w:rFonts w:ascii="Times New Roman" w:hAnsi="Times New Roman"/>
          <w:i/>
          <w:sz w:val="20"/>
          <w:szCs w:val="20"/>
        </w:rPr>
        <w:t>(régionale)</w:t>
      </w:r>
      <w:r w:rsidR="001F2CF1" w:rsidRPr="00BC3192">
        <w:rPr>
          <w:rFonts w:ascii="Times New Roman" w:hAnsi="Times New Roman"/>
          <w:sz w:val="20"/>
          <w:szCs w:val="20"/>
        </w:rPr>
        <w:t xml:space="preserve">, est que la différence relative entre les débits maximum observé et calculé par les modèles est au plus 36 % ; et cette différence entre les résultats de simulation des modèles GR2M et SimulHyd par rapport à l’observation est au plus 8%. Ces pourcentages obtenus partant de la deuxième approche </w:t>
      </w:r>
      <w:r w:rsidR="001F2CF1" w:rsidRPr="00BC3192">
        <w:rPr>
          <w:rFonts w:ascii="Times New Roman" w:hAnsi="Times New Roman"/>
          <w:i/>
          <w:sz w:val="20"/>
          <w:szCs w:val="20"/>
        </w:rPr>
        <w:t>(ponctuelle)</w:t>
      </w:r>
      <w:r w:rsidR="001F2CF1" w:rsidRPr="00BC3192">
        <w:rPr>
          <w:rFonts w:ascii="Times New Roman" w:hAnsi="Times New Roman"/>
          <w:sz w:val="20"/>
          <w:szCs w:val="20"/>
        </w:rPr>
        <w:t xml:space="preserve"> sont successivement de 50% et 6%. Le modèle SimulHyd simule mieux le débit max</w:t>
      </w:r>
      <w:r w:rsidR="002B0EE6">
        <w:rPr>
          <w:rFonts w:ascii="Times New Roman" w:hAnsi="Times New Roman"/>
          <w:sz w:val="20"/>
          <w:szCs w:val="20"/>
        </w:rPr>
        <w:t>imal</w:t>
      </w:r>
      <w:r w:rsidR="001F2CF1" w:rsidRPr="00BC3192">
        <w:rPr>
          <w:rFonts w:ascii="Times New Roman" w:hAnsi="Times New Roman"/>
          <w:sz w:val="20"/>
          <w:szCs w:val="20"/>
        </w:rPr>
        <w:t xml:space="preserve"> que le modèle GR2M ; l’exception est faite à la station de Baranama où les deux modèles surestiment le débit maxim</w:t>
      </w:r>
      <w:r w:rsidR="002B0EE6">
        <w:rPr>
          <w:rFonts w:ascii="Times New Roman" w:hAnsi="Times New Roman"/>
          <w:sz w:val="20"/>
          <w:szCs w:val="20"/>
        </w:rPr>
        <w:t>al</w:t>
      </w:r>
      <w:r w:rsidR="001F2CF1" w:rsidRPr="00BC3192">
        <w:rPr>
          <w:rFonts w:ascii="Times New Roman" w:hAnsi="Times New Roman"/>
          <w:sz w:val="20"/>
          <w:szCs w:val="20"/>
        </w:rPr>
        <w:t>. Cette situation de surestimation du débit maxim</w:t>
      </w:r>
      <w:r w:rsidR="002B0EE6">
        <w:rPr>
          <w:rFonts w:ascii="Times New Roman" w:hAnsi="Times New Roman"/>
          <w:sz w:val="20"/>
          <w:szCs w:val="20"/>
        </w:rPr>
        <w:t>al</w:t>
      </w:r>
      <w:r w:rsidR="001F2CF1" w:rsidRPr="00BC3192">
        <w:rPr>
          <w:rFonts w:ascii="Times New Roman" w:hAnsi="Times New Roman"/>
          <w:sz w:val="20"/>
          <w:szCs w:val="20"/>
        </w:rPr>
        <w:t xml:space="preserve"> est constatée lors de l’approche </w:t>
      </w:r>
      <w:r w:rsidR="001F2CF1" w:rsidRPr="00BC3192">
        <w:rPr>
          <w:rFonts w:ascii="Times New Roman" w:hAnsi="Times New Roman"/>
          <w:i/>
          <w:sz w:val="20"/>
          <w:szCs w:val="20"/>
        </w:rPr>
        <w:t>ponctuelle</w:t>
      </w:r>
      <w:r w:rsidR="001F2CF1" w:rsidRPr="00BC3192">
        <w:rPr>
          <w:rFonts w:ascii="Times New Roman" w:hAnsi="Times New Roman"/>
          <w:sz w:val="20"/>
          <w:szCs w:val="20"/>
        </w:rPr>
        <w:t xml:space="preserve"> en Septembre 1985 et 1991 à la station de Koulikoro. </w:t>
      </w:r>
      <w:r w:rsidRPr="00BC3192">
        <w:rPr>
          <w:rFonts w:ascii="Times New Roman" w:hAnsi="Times New Roman"/>
          <w:sz w:val="20"/>
          <w:szCs w:val="20"/>
        </w:rPr>
        <w:t xml:space="preserve">Les projections sont faites partant d’une simple hypothèse de baisse pluviométrique de 10%, sans une étude des sorties des Modèles de Circulation Générale (MCG). </w:t>
      </w:r>
      <w:r w:rsidR="007F5F24" w:rsidRPr="00BC3192">
        <w:rPr>
          <w:rFonts w:ascii="Times New Roman" w:hAnsi="Times New Roman"/>
          <w:sz w:val="20"/>
          <w:szCs w:val="20"/>
        </w:rPr>
        <w:t>De cette hypothèse, l</w:t>
      </w:r>
      <w:r w:rsidRPr="00BC3192">
        <w:rPr>
          <w:rFonts w:ascii="Times New Roman" w:hAnsi="Times New Roman"/>
          <w:sz w:val="20"/>
          <w:szCs w:val="20"/>
        </w:rPr>
        <w:t xml:space="preserve">es modèles GR2M et SimulHyd produisent les mêmes saisonnalités sur un horizon considéré, seulement que le </w:t>
      </w:r>
      <w:r w:rsidRPr="00C423E9">
        <w:rPr>
          <w:rFonts w:ascii="Times New Roman" w:hAnsi="Times New Roman"/>
          <w:i/>
          <w:sz w:val="20"/>
          <w:szCs w:val="20"/>
        </w:rPr>
        <w:t>concept d’interchangeabilité</w:t>
      </w:r>
      <w:r w:rsidRPr="00BC3192">
        <w:rPr>
          <w:rFonts w:ascii="Times New Roman" w:hAnsi="Times New Roman"/>
          <w:sz w:val="20"/>
          <w:szCs w:val="20"/>
        </w:rPr>
        <w:t xml:space="preserve"> de jeu de paramètres entre versions de modèles induit des différences de comportement entre ces deux modèles. Les projections </w:t>
      </w:r>
      <w:r w:rsidR="008164B7">
        <w:rPr>
          <w:rFonts w:ascii="Times New Roman" w:hAnsi="Times New Roman"/>
          <w:sz w:val="20"/>
          <w:szCs w:val="20"/>
        </w:rPr>
        <w:t xml:space="preserve">des modules de </w:t>
      </w:r>
      <w:r w:rsidR="000938A0">
        <w:rPr>
          <w:rFonts w:ascii="Times New Roman" w:hAnsi="Times New Roman"/>
          <w:sz w:val="20"/>
          <w:szCs w:val="20"/>
        </w:rPr>
        <w:t>débit</w:t>
      </w:r>
      <w:r w:rsidR="008164B7">
        <w:rPr>
          <w:rFonts w:ascii="Times New Roman" w:hAnsi="Times New Roman"/>
          <w:sz w:val="20"/>
          <w:szCs w:val="20"/>
        </w:rPr>
        <w:t xml:space="preserve"> </w:t>
      </w:r>
      <w:r w:rsidRPr="00BC3192">
        <w:rPr>
          <w:rFonts w:ascii="Times New Roman" w:hAnsi="Times New Roman"/>
          <w:sz w:val="20"/>
          <w:szCs w:val="20"/>
        </w:rPr>
        <w:t xml:space="preserve">aux horizons 2020 et 2050 sont quasiment les mêmes en amplitude, avec les versions non-distribuées des modelés GR2M et SimulHyd </w:t>
      </w:r>
      <w:r w:rsidR="007319FA">
        <w:rPr>
          <w:rFonts w:ascii="Times New Roman" w:hAnsi="Times New Roman"/>
          <w:sz w:val="20"/>
          <w:szCs w:val="20"/>
        </w:rPr>
        <w:t>(</w:t>
      </w:r>
      <w:r w:rsidRPr="00BC3192">
        <w:rPr>
          <w:rFonts w:ascii="Times New Roman" w:hAnsi="Times New Roman"/>
          <w:sz w:val="20"/>
          <w:szCs w:val="20"/>
        </w:rPr>
        <w:t>utilisant leur propre jeu de paramètres respectifs</w:t>
      </w:r>
      <w:r w:rsidR="007319FA">
        <w:rPr>
          <w:rFonts w:ascii="Times New Roman" w:hAnsi="Times New Roman"/>
          <w:sz w:val="20"/>
          <w:szCs w:val="20"/>
        </w:rPr>
        <w:t>)</w:t>
      </w:r>
      <w:r w:rsidRPr="00BC3192">
        <w:rPr>
          <w:rFonts w:ascii="Times New Roman" w:hAnsi="Times New Roman"/>
          <w:sz w:val="20"/>
          <w:szCs w:val="20"/>
        </w:rPr>
        <w:t> ; et les amplitudes des débits (en saison de hautes-eaux) sont loin plus faibles à l’horizon 2080 qu’aux horizons 2020 et 2050. Le coefficient de tarissement, généralement calculé partant des données d’observation journalier ou mensuel, peut rendre compte des processus de sub-surface lors de la participation de l’écoulement souterrain au débit à l’exutoire d’un bassin versant, en période de basses eaux. L’adaptation de la méthode mensuelle, du calcul de ce coefficient, aux do</w:t>
      </w:r>
      <w:r w:rsidR="007E6D12">
        <w:rPr>
          <w:rFonts w:ascii="Times New Roman" w:hAnsi="Times New Roman"/>
          <w:sz w:val="20"/>
          <w:szCs w:val="20"/>
        </w:rPr>
        <w:t xml:space="preserve">nnées d’une « année standard » </w:t>
      </w:r>
      <w:r w:rsidRPr="00BC3192">
        <w:rPr>
          <w:rFonts w:ascii="Times New Roman" w:hAnsi="Times New Roman"/>
          <w:sz w:val="20"/>
          <w:szCs w:val="20"/>
        </w:rPr>
        <w:t>constituée si possible des modules de</w:t>
      </w:r>
      <w:r w:rsidR="00590A2B">
        <w:rPr>
          <w:rFonts w:ascii="Times New Roman" w:hAnsi="Times New Roman"/>
          <w:sz w:val="20"/>
          <w:szCs w:val="20"/>
        </w:rPr>
        <w:t xml:space="preserve"> débits de la période 1950-1970</w:t>
      </w:r>
      <w:r w:rsidRPr="00BC3192">
        <w:rPr>
          <w:rFonts w:ascii="Times New Roman" w:hAnsi="Times New Roman"/>
          <w:sz w:val="20"/>
          <w:szCs w:val="20"/>
        </w:rPr>
        <w:t>, idem pour la période 1971-1995, a servi d’explorer certaines subtilités des modèles GR2M et SimulHyd.</w:t>
      </w:r>
      <w:r w:rsidR="00952F51" w:rsidRPr="00BC3192">
        <w:rPr>
          <w:rFonts w:ascii="Times New Roman" w:hAnsi="Times New Roman"/>
          <w:sz w:val="20"/>
          <w:szCs w:val="20"/>
        </w:rPr>
        <w:t xml:space="preserve"> </w:t>
      </w:r>
      <w:r w:rsidRPr="00BC3192">
        <w:rPr>
          <w:rFonts w:ascii="Times New Roman" w:hAnsi="Times New Roman"/>
          <w:sz w:val="20"/>
          <w:szCs w:val="20"/>
        </w:rPr>
        <w:t>En optant pour fonction diagnostique, la forme logarithmique du critère de performance de Nash</w:t>
      </w:r>
      <w:r w:rsidR="007E6D12">
        <w:rPr>
          <w:rFonts w:ascii="Times New Roman" w:hAnsi="Times New Roman"/>
          <w:sz w:val="20"/>
          <w:szCs w:val="20"/>
        </w:rPr>
        <w:t xml:space="preserve"> (</w:t>
      </w:r>
      <w:r w:rsidR="007E6D12" w:rsidRPr="007E6D12">
        <w:rPr>
          <w:rFonts w:ascii="Times New Roman" w:hAnsi="Times New Roman"/>
          <w:b/>
          <w:sz w:val="20"/>
          <w:szCs w:val="20"/>
        </w:rPr>
        <w:t>Figure 1</w:t>
      </w:r>
      <w:r w:rsidR="007E6D12">
        <w:rPr>
          <w:rFonts w:ascii="Times New Roman" w:hAnsi="Times New Roman"/>
          <w:sz w:val="20"/>
          <w:szCs w:val="20"/>
        </w:rPr>
        <w:t>)</w:t>
      </w:r>
      <w:r w:rsidRPr="00BC3192">
        <w:rPr>
          <w:rFonts w:ascii="Times New Roman" w:hAnsi="Times New Roman"/>
          <w:sz w:val="20"/>
          <w:szCs w:val="20"/>
        </w:rPr>
        <w:t xml:space="preserve">, les modèles GR2M et SimulHyd reproduisent mieux, en phase de calage, le coefficient de tarissement sur la période de hautes eaux (1950-1970) ; ce qui est loin d’être le cas sur la période de basses eaux (1971-1995), et Il arrive même que SimulHyd reproduise l’effet inverse observé (une diminution du coefficient de tarissement au lieu d’une augmentation). Ces constats sont davantage valables en utilisant la forme logarithmique de Nash, qu’en utilisant sa forme habituelle. Enfin, pour chaque modèle, l’utilisation du jeu de paramètre calé sur la période de basses eaux (1971-1995), en validation sur la période de hautes eaux (1950-1970), permet de reconstituer le coefficient de tarissement observé </w:t>
      </w:r>
      <w:r w:rsidRPr="007E6D12">
        <w:rPr>
          <w:rFonts w:ascii="Times New Roman" w:hAnsi="Times New Roman"/>
          <w:i/>
          <w:sz w:val="20"/>
          <w:szCs w:val="20"/>
        </w:rPr>
        <w:t xml:space="preserve">(alpha) </w:t>
      </w:r>
      <w:r w:rsidRPr="00BC3192">
        <w:rPr>
          <w:rFonts w:ascii="Times New Roman" w:hAnsi="Times New Roman"/>
          <w:sz w:val="20"/>
          <w:szCs w:val="20"/>
        </w:rPr>
        <w:t>sur cette période de basses eaux. L’</w:t>
      </w:r>
      <w:r w:rsidRPr="00BC3192">
        <w:rPr>
          <w:rFonts w:ascii="Times New Roman" w:hAnsi="Times New Roman"/>
          <w:b/>
          <w:i/>
          <w:sz w:val="20"/>
          <w:szCs w:val="20"/>
        </w:rPr>
        <w:t>Hydrosystèmes-en-période-</w:t>
      </w:r>
      <w:r w:rsidRPr="00BC3192">
        <w:rPr>
          <w:rFonts w:ascii="Times New Roman" w:hAnsi="Times New Roman"/>
          <w:b/>
          <w:i/>
          <w:sz w:val="20"/>
          <w:szCs w:val="20"/>
        </w:rPr>
        <w:lastRenderedPageBreak/>
        <w:t>hautes-eaux-de-référence</w:t>
      </w:r>
      <w:r w:rsidRPr="00BC3192">
        <w:rPr>
          <w:rFonts w:ascii="Times New Roman" w:hAnsi="Times New Roman"/>
          <w:sz w:val="20"/>
          <w:szCs w:val="20"/>
        </w:rPr>
        <w:t xml:space="preserve"> se comporte comme un « modèle en boite noire » q</w:t>
      </w:r>
      <w:r w:rsidR="00BE76DD">
        <w:rPr>
          <w:rFonts w:ascii="Times New Roman" w:hAnsi="Times New Roman"/>
          <w:sz w:val="20"/>
          <w:szCs w:val="20"/>
        </w:rPr>
        <w:t xml:space="preserve">ui prend en son entrée </w:t>
      </w:r>
      <w:r w:rsidR="00333504">
        <w:rPr>
          <w:rFonts w:ascii="Times New Roman" w:hAnsi="Times New Roman"/>
          <w:sz w:val="20"/>
          <w:szCs w:val="20"/>
        </w:rPr>
        <w:t xml:space="preserve">le jeu de paramètres </w:t>
      </w:r>
      <w:r w:rsidR="00BE76DD" w:rsidRPr="00333504">
        <w:rPr>
          <w:rFonts w:ascii="Times New Roman" w:hAnsi="Times New Roman"/>
          <w:i/>
          <w:sz w:val="20"/>
          <w:szCs w:val="20"/>
        </w:rPr>
        <w:t>(X1, X2)</w:t>
      </w:r>
      <w:r w:rsidR="00BE76DD" w:rsidRPr="00333504">
        <w:rPr>
          <w:rFonts w:ascii="Times New Roman" w:hAnsi="Times New Roman"/>
          <w:i/>
          <w:sz w:val="20"/>
          <w:szCs w:val="20"/>
          <w:vertAlign w:val="subscript"/>
        </w:rPr>
        <w:t xml:space="preserve"> [</w:t>
      </w:r>
      <w:r w:rsidRPr="00333504">
        <w:rPr>
          <w:rFonts w:ascii="Times New Roman" w:hAnsi="Times New Roman"/>
          <w:i/>
          <w:sz w:val="20"/>
          <w:szCs w:val="20"/>
          <w:vertAlign w:val="subscript"/>
        </w:rPr>
        <w:t>basses eaux]</w:t>
      </w:r>
      <w:r w:rsidRPr="00BC3192">
        <w:rPr>
          <w:rFonts w:ascii="Times New Roman" w:hAnsi="Times New Roman"/>
          <w:sz w:val="20"/>
          <w:szCs w:val="20"/>
        </w:rPr>
        <w:t xml:space="preserve"> et produit à sa sortie </w:t>
      </w:r>
      <w:r w:rsidR="00CE6A11" w:rsidRPr="00BC3192">
        <w:rPr>
          <w:rFonts w:ascii="Times New Roman" w:hAnsi="Times New Roman"/>
          <w:sz w:val="20"/>
          <w:szCs w:val="20"/>
        </w:rPr>
        <w:t xml:space="preserve">le coefficient de tarissement </w:t>
      </w:r>
      <w:r w:rsidR="00CE6A11" w:rsidRPr="00BC3192">
        <w:rPr>
          <w:rFonts w:ascii="Times New Roman" w:hAnsi="Times New Roman"/>
          <w:i/>
          <w:sz w:val="20"/>
          <w:szCs w:val="20"/>
        </w:rPr>
        <w:t>a</w:t>
      </w:r>
      <w:r w:rsidRPr="00BC3192">
        <w:rPr>
          <w:rFonts w:ascii="Times New Roman" w:hAnsi="Times New Roman"/>
          <w:i/>
          <w:sz w:val="20"/>
          <w:szCs w:val="20"/>
        </w:rPr>
        <w:t xml:space="preserve">lpha </w:t>
      </w:r>
      <w:r w:rsidRPr="00BC3192">
        <w:rPr>
          <w:rFonts w:ascii="Times New Roman" w:hAnsi="Times New Roman"/>
          <w:i/>
          <w:sz w:val="20"/>
          <w:szCs w:val="20"/>
          <w:vertAlign w:val="subscript"/>
        </w:rPr>
        <w:t>[basses eaux]</w:t>
      </w:r>
      <w:r w:rsidRPr="00BC3192">
        <w:rPr>
          <w:rFonts w:ascii="Times New Roman" w:hAnsi="Times New Roman"/>
          <w:i/>
          <w:sz w:val="20"/>
          <w:szCs w:val="20"/>
        </w:rPr>
        <w:t>.</w:t>
      </w:r>
      <w:r w:rsidRPr="00BC3192">
        <w:rPr>
          <w:rFonts w:ascii="Times New Roman" w:hAnsi="Times New Roman"/>
          <w:sz w:val="20"/>
          <w:szCs w:val="20"/>
        </w:rPr>
        <w:t xml:space="preserve"> L’inverse est relativement moins bien vérifié. Le jeu de paramètres garde l’empreinte de la période sur laquelle il a été calé ; et la restitue lorsqu’il est injecté dans un </w:t>
      </w:r>
      <w:r w:rsidRPr="00BC3192">
        <w:rPr>
          <w:rFonts w:ascii="Times New Roman" w:hAnsi="Times New Roman"/>
          <w:i/>
          <w:sz w:val="20"/>
          <w:szCs w:val="20"/>
        </w:rPr>
        <w:t>Hydrosystème-Période-de-Reference</w:t>
      </w:r>
      <w:r w:rsidRPr="00BC3192">
        <w:rPr>
          <w:rFonts w:ascii="Times New Roman" w:hAnsi="Times New Roman"/>
          <w:sz w:val="20"/>
          <w:szCs w:val="20"/>
        </w:rPr>
        <w:t>.</w:t>
      </w:r>
      <w:r w:rsidR="00BE76DD">
        <w:rPr>
          <w:rFonts w:ascii="Times New Roman" w:hAnsi="Times New Roman"/>
          <w:sz w:val="20"/>
          <w:szCs w:val="20"/>
        </w:rPr>
        <w:t xml:space="preserve"> </w:t>
      </w:r>
      <w:r w:rsidR="00AC146F">
        <w:rPr>
          <w:rFonts w:ascii="Times New Roman" w:hAnsi="Times New Roman"/>
          <w:sz w:val="20"/>
          <w:szCs w:val="20"/>
        </w:rPr>
        <w:t>La suite de cette étude nécessite</w:t>
      </w:r>
      <w:r w:rsidR="00FB047D">
        <w:rPr>
          <w:rFonts w:ascii="Times New Roman" w:hAnsi="Times New Roman"/>
          <w:sz w:val="20"/>
          <w:szCs w:val="20"/>
        </w:rPr>
        <w:t>,</w:t>
      </w:r>
      <w:r w:rsidR="00AC146F">
        <w:rPr>
          <w:rFonts w:ascii="Times New Roman" w:hAnsi="Times New Roman"/>
          <w:sz w:val="20"/>
          <w:szCs w:val="20"/>
        </w:rPr>
        <w:t xml:space="preserve"> d’une part, de partir des sorties des Modèles de Circulation Générale pour investir davantage les comportements comparés des modèles sur les horizons futures</w:t>
      </w:r>
      <w:r w:rsidR="00BE76DD">
        <w:rPr>
          <w:rFonts w:ascii="Times New Roman" w:hAnsi="Times New Roman"/>
          <w:sz w:val="20"/>
          <w:szCs w:val="20"/>
        </w:rPr>
        <w:t>, et d’</w:t>
      </w:r>
      <w:r w:rsidR="00333504">
        <w:rPr>
          <w:rFonts w:ascii="Times New Roman" w:hAnsi="Times New Roman"/>
          <w:sz w:val="20"/>
          <w:szCs w:val="20"/>
        </w:rPr>
        <w:t xml:space="preserve">autre part, </w:t>
      </w:r>
      <w:r w:rsidR="00AC146F">
        <w:rPr>
          <w:rFonts w:ascii="Times New Roman" w:hAnsi="Times New Roman"/>
          <w:sz w:val="20"/>
          <w:szCs w:val="20"/>
        </w:rPr>
        <w:t xml:space="preserve">d’adapter </w:t>
      </w:r>
      <w:r w:rsidR="000F552A">
        <w:rPr>
          <w:rFonts w:ascii="Times New Roman" w:hAnsi="Times New Roman"/>
          <w:sz w:val="20"/>
          <w:szCs w:val="20"/>
        </w:rPr>
        <w:t>l</w:t>
      </w:r>
      <w:r w:rsidR="00AC146F">
        <w:rPr>
          <w:rFonts w:ascii="Times New Roman" w:hAnsi="Times New Roman"/>
          <w:sz w:val="20"/>
          <w:szCs w:val="20"/>
        </w:rPr>
        <w:t>es modèles utilisés pour la prises en compte des processus de sub-surface.</w:t>
      </w:r>
    </w:p>
    <w:p w:rsidR="000D79A9" w:rsidRDefault="00E85086" w:rsidP="00D47C44">
      <w:pPr>
        <w:spacing w:before="120" w:after="0" w:line="360" w:lineRule="auto"/>
        <w:jc w:val="both"/>
        <w:rPr>
          <w:rFonts w:ascii="Times New Roman" w:hAnsi="Times New Roman"/>
          <w:sz w:val="20"/>
          <w:szCs w:val="20"/>
        </w:rPr>
      </w:pPr>
      <w:r w:rsidRPr="00BC3192">
        <w:rPr>
          <w:rFonts w:ascii="Times New Roman" w:hAnsi="Times New Roman"/>
          <w:b/>
          <w:sz w:val="20"/>
          <w:szCs w:val="20"/>
        </w:rPr>
        <w:t>Mot clés</w:t>
      </w:r>
      <w:r w:rsidRPr="00BC3192">
        <w:rPr>
          <w:rFonts w:ascii="Times New Roman" w:hAnsi="Times New Roman"/>
          <w:sz w:val="20"/>
          <w:szCs w:val="20"/>
        </w:rPr>
        <w:t> : Niger, Modélisation, GR2M, SimulHyd, Tarissement</w:t>
      </w:r>
    </w:p>
    <w:p w:rsidR="00D47C44" w:rsidRPr="0035715F" w:rsidRDefault="00D47C44" w:rsidP="00D47C44">
      <w:pPr>
        <w:widowControl w:val="0"/>
        <w:spacing w:after="0" w:line="360" w:lineRule="auto"/>
        <w:jc w:val="both"/>
      </w:pPr>
      <w:r w:rsidRPr="0035715F">
        <w:rPr>
          <w:noProof/>
          <w:lang w:eastAsia="fr-FR"/>
        </w:rPr>
        <w:drawing>
          <wp:inline distT="0" distB="0" distL="0" distR="0">
            <wp:extent cx="5731099" cy="6175420"/>
            <wp:effectExtent l="19050" t="19050" r="22225" b="1587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5_tar_kouroussa.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175863"/>
                    </a:xfrm>
                    <a:prstGeom prst="rect">
                      <a:avLst/>
                    </a:prstGeom>
                    <a:ln w="12700">
                      <a:solidFill>
                        <a:schemeClr val="tx1"/>
                      </a:solidFill>
                    </a:ln>
                  </pic:spPr>
                </pic:pic>
              </a:graphicData>
            </a:graphic>
          </wp:inline>
        </w:drawing>
      </w:r>
    </w:p>
    <w:p w:rsidR="00D47C44" w:rsidRPr="0035715F" w:rsidRDefault="00D47C44" w:rsidP="00D47C44">
      <w:pPr>
        <w:pStyle w:val="Lgende"/>
        <w:jc w:val="both"/>
      </w:pPr>
      <w:bookmarkStart w:id="1" w:name="_Toc416482374"/>
      <w:r w:rsidRPr="0035715F">
        <w:t xml:space="preserve">Figure </w:t>
      </w:r>
      <w:r>
        <w:t>1</w:t>
      </w:r>
      <w:r w:rsidRPr="0035715F">
        <w:t> : Estimation de coefficients de tarissement sur le fleuve Niger (à Kouroussa).</w:t>
      </w:r>
      <w:bookmarkEnd w:id="1"/>
      <w:r w:rsidRPr="0035715F">
        <w:t xml:space="preserve"> </w:t>
      </w:r>
    </w:p>
    <w:p w:rsidR="007F5F24" w:rsidRDefault="00D47C44" w:rsidP="00D47C44">
      <w:pPr>
        <w:pStyle w:val="Lgende"/>
        <w:jc w:val="both"/>
      </w:pPr>
      <w:r w:rsidRPr="0035715F">
        <w:rPr>
          <w:b w:val="0"/>
          <w:bCs w:val="0"/>
          <w:i/>
          <w:lang w:eastAsia="en-US"/>
        </w:rPr>
        <w:t>(Période 1 de hautes eaux [1950-1970] ; période 2 de basses eaux [1971-1995]</w:t>
      </w:r>
      <w:r>
        <w:rPr>
          <w:b w:val="0"/>
          <w:bCs w:val="0"/>
          <w:i/>
          <w:lang w:eastAsia="en-US"/>
        </w:rPr>
        <w:t>. Simulation de GR2M en noire [trait pointillé et le signe plus] ; Simulation de SimulHyd en rouge [trait avec brisures et triangle pointé vers le haut] ; les observations sont en bleu [signe rond et trait plein avec une pente de 0.7241 sur 1950-1970 ; signe triangle pointé vers le bas et trait en brisures pointillées avec une pente de 0.979 sur 1971-1995).</w:t>
      </w:r>
      <w:r>
        <w:t xml:space="preserve"> </w:t>
      </w:r>
    </w:p>
    <w:sectPr w:rsidR="007F5F24" w:rsidSect="00B054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877"/>
    <w:multiLevelType w:val="hybridMultilevel"/>
    <w:tmpl w:val="F0B4DF2A"/>
    <w:lvl w:ilvl="0" w:tplc="4C9A05E8">
      <w:start w:val="1"/>
      <w:numFmt w:val="decimal"/>
      <w:lvlText w:val="5.3.%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
    <w:nsid w:val="1AF303D0"/>
    <w:multiLevelType w:val="hybridMultilevel"/>
    <w:tmpl w:val="F01AB160"/>
    <w:lvl w:ilvl="0" w:tplc="4306C976">
      <w:start w:val="1"/>
      <w:numFmt w:val="lowerLetter"/>
      <w:lvlText w:val="4.2.%1"/>
      <w:lvlJc w:val="left"/>
      <w:pPr>
        <w:ind w:left="2138" w:hanging="360"/>
      </w:pPr>
      <w:rPr>
        <w:rFonts w:hint="default"/>
      </w:rPr>
    </w:lvl>
    <w:lvl w:ilvl="1" w:tplc="CC381B48">
      <w:start w:val="1"/>
      <w:numFmt w:val="decimal"/>
      <w:lvlText w:val="5.1.%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FC213B6"/>
    <w:multiLevelType w:val="hybridMultilevel"/>
    <w:tmpl w:val="27569A52"/>
    <w:lvl w:ilvl="0" w:tplc="DDE081C4">
      <w:start w:val="1"/>
      <w:numFmt w:val="decimal"/>
      <w:lvlText w:val="5.%1"/>
      <w:lvlJc w:val="right"/>
      <w:pPr>
        <w:ind w:left="778" w:hanging="360"/>
      </w:pPr>
      <w:rPr>
        <w:rFonts w:hint="default"/>
      </w:rPr>
    </w:lvl>
    <w:lvl w:ilvl="1" w:tplc="040C0019">
      <w:start w:val="1"/>
      <w:numFmt w:val="lowerLetter"/>
      <w:lvlText w:val="%2."/>
      <w:lvlJc w:val="left"/>
      <w:pPr>
        <w:ind w:left="1498" w:hanging="360"/>
      </w:pPr>
    </w:lvl>
    <w:lvl w:ilvl="2" w:tplc="040C001B">
      <w:start w:val="1"/>
      <w:numFmt w:val="lowerRoman"/>
      <w:lvlText w:val="%3."/>
      <w:lvlJc w:val="right"/>
      <w:pPr>
        <w:ind w:left="2218" w:hanging="180"/>
      </w:pPr>
    </w:lvl>
    <w:lvl w:ilvl="3" w:tplc="040C000F">
      <w:start w:val="1"/>
      <w:numFmt w:val="decimal"/>
      <w:lvlText w:val="%4."/>
      <w:lvlJc w:val="left"/>
      <w:pPr>
        <w:ind w:left="2938" w:hanging="360"/>
      </w:pPr>
    </w:lvl>
    <w:lvl w:ilvl="4" w:tplc="040C0019">
      <w:start w:val="1"/>
      <w:numFmt w:val="lowerLetter"/>
      <w:lvlText w:val="%5."/>
      <w:lvlJc w:val="left"/>
      <w:pPr>
        <w:ind w:left="3658" w:hanging="360"/>
      </w:pPr>
    </w:lvl>
    <w:lvl w:ilvl="5" w:tplc="040C001B">
      <w:start w:val="1"/>
      <w:numFmt w:val="lowerRoman"/>
      <w:lvlText w:val="%6."/>
      <w:lvlJc w:val="right"/>
      <w:pPr>
        <w:ind w:left="4378" w:hanging="180"/>
      </w:pPr>
    </w:lvl>
    <w:lvl w:ilvl="6" w:tplc="040C000F">
      <w:start w:val="1"/>
      <w:numFmt w:val="decimal"/>
      <w:lvlText w:val="%7."/>
      <w:lvlJc w:val="left"/>
      <w:pPr>
        <w:ind w:left="5098" w:hanging="360"/>
      </w:pPr>
    </w:lvl>
    <w:lvl w:ilvl="7" w:tplc="040C0019">
      <w:start w:val="1"/>
      <w:numFmt w:val="lowerLetter"/>
      <w:lvlText w:val="%8."/>
      <w:lvlJc w:val="left"/>
      <w:pPr>
        <w:ind w:left="5818" w:hanging="360"/>
      </w:pPr>
    </w:lvl>
    <w:lvl w:ilvl="8" w:tplc="040C001B">
      <w:start w:val="1"/>
      <w:numFmt w:val="lowerRoman"/>
      <w:lvlText w:val="%9."/>
      <w:lvlJc w:val="right"/>
      <w:pPr>
        <w:ind w:left="6538" w:hanging="180"/>
      </w:pPr>
    </w:lvl>
  </w:abstractNum>
  <w:abstractNum w:abstractNumId="3">
    <w:nsid w:val="61D02EC0"/>
    <w:multiLevelType w:val="hybridMultilevel"/>
    <w:tmpl w:val="3E6E893C"/>
    <w:lvl w:ilvl="0" w:tplc="D4764338">
      <w:start w:val="1"/>
      <w:numFmt w:val="decimal"/>
      <w:lvlText w:val="5.2.%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
    <w:nsid w:val="7BCB798D"/>
    <w:multiLevelType w:val="hybridMultilevel"/>
    <w:tmpl w:val="27569A52"/>
    <w:lvl w:ilvl="0" w:tplc="DDE081C4">
      <w:start w:val="1"/>
      <w:numFmt w:val="decimal"/>
      <w:lvlText w:val="5.%1"/>
      <w:lvlJc w:val="right"/>
      <w:pPr>
        <w:ind w:left="778" w:hanging="360"/>
      </w:pPr>
      <w:rPr>
        <w:rFonts w:hint="default"/>
      </w:rPr>
    </w:lvl>
    <w:lvl w:ilvl="1" w:tplc="040C0019">
      <w:start w:val="1"/>
      <w:numFmt w:val="lowerLetter"/>
      <w:lvlText w:val="%2."/>
      <w:lvlJc w:val="left"/>
      <w:pPr>
        <w:ind w:left="1498" w:hanging="360"/>
      </w:pPr>
    </w:lvl>
    <w:lvl w:ilvl="2" w:tplc="040C001B">
      <w:start w:val="1"/>
      <w:numFmt w:val="lowerRoman"/>
      <w:lvlText w:val="%3."/>
      <w:lvlJc w:val="right"/>
      <w:pPr>
        <w:ind w:left="2218" w:hanging="180"/>
      </w:pPr>
    </w:lvl>
    <w:lvl w:ilvl="3" w:tplc="040C000F">
      <w:start w:val="1"/>
      <w:numFmt w:val="decimal"/>
      <w:lvlText w:val="%4."/>
      <w:lvlJc w:val="left"/>
      <w:pPr>
        <w:ind w:left="2938" w:hanging="360"/>
      </w:pPr>
    </w:lvl>
    <w:lvl w:ilvl="4" w:tplc="040C0019">
      <w:start w:val="1"/>
      <w:numFmt w:val="lowerLetter"/>
      <w:lvlText w:val="%5."/>
      <w:lvlJc w:val="left"/>
      <w:pPr>
        <w:ind w:left="3658" w:hanging="360"/>
      </w:pPr>
    </w:lvl>
    <w:lvl w:ilvl="5" w:tplc="040C001B">
      <w:start w:val="1"/>
      <w:numFmt w:val="lowerRoman"/>
      <w:lvlText w:val="%6."/>
      <w:lvlJc w:val="right"/>
      <w:pPr>
        <w:ind w:left="4378" w:hanging="180"/>
      </w:pPr>
    </w:lvl>
    <w:lvl w:ilvl="6" w:tplc="040C000F">
      <w:start w:val="1"/>
      <w:numFmt w:val="decimal"/>
      <w:lvlText w:val="%7."/>
      <w:lvlJc w:val="left"/>
      <w:pPr>
        <w:ind w:left="5098" w:hanging="360"/>
      </w:pPr>
    </w:lvl>
    <w:lvl w:ilvl="7" w:tplc="040C0019">
      <w:start w:val="1"/>
      <w:numFmt w:val="lowerLetter"/>
      <w:lvlText w:val="%8."/>
      <w:lvlJc w:val="left"/>
      <w:pPr>
        <w:ind w:left="5818" w:hanging="360"/>
      </w:pPr>
    </w:lvl>
    <w:lvl w:ilvl="8" w:tplc="040C001B">
      <w:start w:val="1"/>
      <w:numFmt w:val="lowerRoman"/>
      <w:lvlText w:val="%9."/>
      <w:lvlJc w:val="right"/>
      <w:pPr>
        <w:ind w:left="6538"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trackRevisions/>
  <w:defaultTabStop w:val="708"/>
  <w:hyphenationZone w:val="425"/>
  <w:characterSpacingControl w:val="doNotCompress"/>
  <w:savePreviewPicture/>
  <w:compat/>
  <w:rsids>
    <w:rsidRoot w:val="00E714CE"/>
    <w:rsid w:val="0000461F"/>
    <w:rsid w:val="0000569F"/>
    <w:rsid w:val="000232B5"/>
    <w:rsid w:val="000436F4"/>
    <w:rsid w:val="00080C74"/>
    <w:rsid w:val="00091049"/>
    <w:rsid w:val="000938A0"/>
    <w:rsid w:val="000A1747"/>
    <w:rsid w:val="000B0452"/>
    <w:rsid w:val="000D418B"/>
    <w:rsid w:val="000D79A9"/>
    <w:rsid w:val="000E1FAB"/>
    <w:rsid w:val="000F552A"/>
    <w:rsid w:val="001051B2"/>
    <w:rsid w:val="00132D2D"/>
    <w:rsid w:val="00145459"/>
    <w:rsid w:val="00150B21"/>
    <w:rsid w:val="00160E70"/>
    <w:rsid w:val="001619B6"/>
    <w:rsid w:val="001655F0"/>
    <w:rsid w:val="00167B75"/>
    <w:rsid w:val="00176145"/>
    <w:rsid w:val="001A4D30"/>
    <w:rsid w:val="001C68AA"/>
    <w:rsid w:val="001E48FA"/>
    <w:rsid w:val="001F285C"/>
    <w:rsid w:val="001F2CF1"/>
    <w:rsid w:val="00206705"/>
    <w:rsid w:val="00207327"/>
    <w:rsid w:val="00212496"/>
    <w:rsid w:val="002768BC"/>
    <w:rsid w:val="002B0409"/>
    <w:rsid w:val="002B0EE6"/>
    <w:rsid w:val="002B64D1"/>
    <w:rsid w:val="002E6342"/>
    <w:rsid w:val="002E7F3A"/>
    <w:rsid w:val="002F409E"/>
    <w:rsid w:val="0030742D"/>
    <w:rsid w:val="00312A78"/>
    <w:rsid w:val="00333504"/>
    <w:rsid w:val="0036788A"/>
    <w:rsid w:val="00384910"/>
    <w:rsid w:val="003A3E75"/>
    <w:rsid w:val="003B5D9D"/>
    <w:rsid w:val="003D2A74"/>
    <w:rsid w:val="003D417C"/>
    <w:rsid w:val="003E5C0F"/>
    <w:rsid w:val="003F3708"/>
    <w:rsid w:val="003F6645"/>
    <w:rsid w:val="00450F0E"/>
    <w:rsid w:val="004513B1"/>
    <w:rsid w:val="00463789"/>
    <w:rsid w:val="004B4C20"/>
    <w:rsid w:val="004B72CD"/>
    <w:rsid w:val="004C6F81"/>
    <w:rsid w:val="004F7705"/>
    <w:rsid w:val="00517581"/>
    <w:rsid w:val="00526975"/>
    <w:rsid w:val="00533CF8"/>
    <w:rsid w:val="005478E8"/>
    <w:rsid w:val="00556916"/>
    <w:rsid w:val="00565B16"/>
    <w:rsid w:val="00590A2B"/>
    <w:rsid w:val="005B13EA"/>
    <w:rsid w:val="005B2FDB"/>
    <w:rsid w:val="005B4DDC"/>
    <w:rsid w:val="005C5232"/>
    <w:rsid w:val="005E02F3"/>
    <w:rsid w:val="005E5682"/>
    <w:rsid w:val="006365B4"/>
    <w:rsid w:val="006B5830"/>
    <w:rsid w:val="006B7820"/>
    <w:rsid w:val="006D155C"/>
    <w:rsid w:val="006D37BF"/>
    <w:rsid w:val="006E0028"/>
    <w:rsid w:val="006E0A2F"/>
    <w:rsid w:val="006E3B25"/>
    <w:rsid w:val="00702F2B"/>
    <w:rsid w:val="00725905"/>
    <w:rsid w:val="007319FA"/>
    <w:rsid w:val="0075047B"/>
    <w:rsid w:val="007524B8"/>
    <w:rsid w:val="007A5B5D"/>
    <w:rsid w:val="007C73D9"/>
    <w:rsid w:val="007D41B1"/>
    <w:rsid w:val="007D6D88"/>
    <w:rsid w:val="007E6D12"/>
    <w:rsid w:val="007F5F24"/>
    <w:rsid w:val="00807EC4"/>
    <w:rsid w:val="0081137A"/>
    <w:rsid w:val="008164B7"/>
    <w:rsid w:val="00832BEF"/>
    <w:rsid w:val="00854DEC"/>
    <w:rsid w:val="00861705"/>
    <w:rsid w:val="00861933"/>
    <w:rsid w:val="008824ED"/>
    <w:rsid w:val="008874B8"/>
    <w:rsid w:val="0089728C"/>
    <w:rsid w:val="008B3FC1"/>
    <w:rsid w:val="008C2152"/>
    <w:rsid w:val="008F2E0E"/>
    <w:rsid w:val="008F773E"/>
    <w:rsid w:val="0091126F"/>
    <w:rsid w:val="00942695"/>
    <w:rsid w:val="0094431C"/>
    <w:rsid w:val="00952F51"/>
    <w:rsid w:val="00961AA7"/>
    <w:rsid w:val="009677D5"/>
    <w:rsid w:val="009A4833"/>
    <w:rsid w:val="009A492D"/>
    <w:rsid w:val="009C4D16"/>
    <w:rsid w:val="00A34B5D"/>
    <w:rsid w:val="00A458EB"/>
    <w:rsid w:val="00A82E20"/>
    <w:rsid w:val="00A8430C"/>
    <w:rsid w:val="00AA2801"/>
    <w:rsid w:val="00AA6B15"/>
    <w:rsid w:val="00AA77FC"/>
    <w:rsid w:val="00AC146F"/>
    <w:rsid w:val="00AE5E9F"/>
    <w:rsid w:val="00B03C00"/>
    <w:rsid w:val="00B05469"/>
    <w:rsid w:val="00B20838"/>
    <w:rsid w:val="00B3373D"/>
    <w:rsid w:val="00B443D7"/>
    <w:rsid w:val="00B50F06"/>
    <w:rsid w:val="00B55DAA"/>
    <w:rsid w:val="00B707D2"/>
    <w:rsid w:val="00B863B7"/>
    <w:rsid w:val="00B87C83"/>
    <w:rsid w:val="00BB725F"/>
    <w:rsid w:val="00BC3192"/>
    <w:rsid w:val="00BE76DD"/>
    <w:rsid w:val="00C1353A"/>
    <w:rsid w:val="00C15A6C"/>
    <w:rsid w:val="00C1704D"/>
    <w:rsid w:val="00C30A78"/>
    <w:rsid w:val="00C423E9"/>
    <w:rsid w:val="00C46654"/>
    <w:rsid w:val="00CD1DC6"/>
    <w:rsid w:val="00CE6A11"/>
    <w:rsid w:val="00D02506"/>
    <w:rsid w:val="00D20F95"/>
    <w:rsid w:val="00D22148"/>
    <w:rsid w:val="00D26F08"/>
    <w:rsid w:val="00D30009"/>
    <w:rsid w:val="00D3468B"/>
    <w:rsid w:val="00D4310F"/>
    <w:rsid w:val="00D4320E"/>
    <w:rsid w:val="00D43EE3"/>
    <w:rsid w:val="00D47C44"/>
    <w:rsid w:val="00D574FA"/>
    <w:rsid w:val="00D9168D"/>
    <w:rsid w:val="00D970A3"/>
    <w:rsid w:val="00DA7FBC"/>
    <w:rsid w:val="00DC0DA4"/>
    <w:rsid w:val="00DD317E"/>
    <w:rsid w:val="00DD407A"/>
    <w:rsid w:val="00DD44C9"/>
    <w:rsid w:val="00E12380"/>
    <w:rsid w:val="00E173C9"/>
    <w:rsid w:val="00E50ABD"/>
    <w:rsid w:val="00E53E46"/>
    <w:rsid w:val="00E604E5"/>
    <w:rsid w:val="00E65C8C"/>
    <w:rsid w:val="00E714CE"/>
    <w:rsid w:val="00E8280B"/>
    <w:rsid w:val="00E85086"/>
    <w:rsid w:val="00E85269"/>
    <w:rsid w:val="00EA3F5D"/>
    <w:rsid w:val="00ED17E5"/>
    <w:rsid w:val="00ED1F6C"/>
    <w:rsid w:val="00ED5E66"/>
    <w:rsid w:val="00F04112"/>
    <w:rsid w:val="00F07F6F"/>
    <w:rsid w:val="00F33D43"/>
    <w:rsid w:val="00F36949"/>
    <w:rsid w:val="00F36B79"/>
    <w:rsid w:val="00F416E6"/>
    <w:rsid w:val="00F43B94"/>
    <w:rsid w:val="00F678AB"/>
    <w:rsid w:val="00F7120E"/>
    <w:rsid w:val="00F832C0"/>
    <w:rsid w:val="00FB047D"/>
    <w:rsid w:val="00FB0E1B"/>
    <w:rsid w:val="00FB3A8B"/>
    <w:rsid w:val="00FD7A79"/>
    <w:rsid w:val="00FE6F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6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99"/>
    <w:qFormat/>
    <w:rsid w:val="008F2E0E"/>
    <w:pPr>
      <w:spacing w:after="0" w:line="240" w:lineRule="auto"/>
    </w:pPr>
    <w:rPr>
      <w:rFonts w:ascii="Times New Roman" w:eastAsia="Times New Roman" w:hAnsi="Times New Roman"/>
      <w:b/>
      <w:bCs/>
      <w:sz w:val="20"/>
      <w:szCs w:val="20"/>
      <w:lang w:eastAsia="fr-FR"/>
    </w:rPr>
  </w:style>
  <w:style w:type="character" w:styleId="Lienhypertexte">
    <w:name w:val="Hyperlink"/>
    <w:uiPriority w:val="99"/>
    <w:rsid w:val="006B7820"/>
    <w:rPr>
      <w:color w:val="0000FF"/>
      <w:u w:val="single"/>
    </w:rPr>
  </w:style>
  <w:style w:type="character" w:styleId="Marquedecommentaire">
    <w:name w:val="annotation reference"/>
    <w:uiPriority w:val="99"/>
    <w:semiHidden/>
    <w:unhideWhenUsed/>
    <w:rsid w:val="001F285C"/>
    <w:rPr>
      <w:sz w:val="16"/>
      <w:szCs w:val="16"/>
    </w:rPr>
  </w:style>
  <w:style w:type="paragraph" w:styleId="Commentaire">
    <w:name w:val="annotation text"/>
    <w:basedOn w:val="Normal"/>
    <w:link w:val="CommentaireCar"/>
    <w:uiPriority w:val="99"/>
    <w:semiHidden/>
    <w:unhideWhenUsed/>
    <w:rsid w:val="001F285C"/>
    <w:rPr>
      <w:sz w:val="20"/>
      <w:szCs w:val="20"/>
    </w:rPr>
  </w:style>
  <w:style w:type="character" w:customStyle="1" w:styleId="CommentaireCar">
    <w:name w:val="Commentaire Car"/>
    <w:link w:val="Commentaire"/>
    <w:uiPriority w:val="99"/>
    <w:semiHidden/>
    <w:rsid w:val="001F285C"/>
    <w:rPr>
      <w:lang w:eastAsia="en-US"/>
    </w:rPr>
  </w:style>
  <w:style w:type="paragraph" w:styleId="Objetducommentaire">
    <w:name w:val="annotation subject"/>
    <w:basedOn w:val="Commentaire"/>
    <w:next w:val="Commentaire"/>
    <w:link w:val="ObjetducommentaireCar"/>
    <w:uiPriority w:val="99"/>
    <w:semiHidden/>
    <w:unhideWhenUsed/>
    <w:rsid w:val="001F285C"/>
    <w:rPr>
      <w:b/>
      <w:bCs/>
    </w:rPr>
  </w:style>
  <w:style w:type="character" w:customStyle="1" w:styleId="ObjetducommentaireCar">
    <w:name w:val="Objet du commentaire Car"/>
    <w:link w:val="Objetducommentaire"/>
    <w:uiPriority w:val="99"/>
    <w:semiHidden/>
    <w:rsid w:val="001F285C"/>
    <w:rPr>
      <w:b/>
      <w:bCs/>
      <w:lang w:eastAsia="en-US"/>
    </w:rPr>
  </w:style>
  <w:style w:type="paragraph" w:styleId="Textedebulles">
    <w:name w:val="Balloon Text"/>
    <w:basedOn w:val="Normal"/>
    <w:link w:val="TextedebullesCar"/>
    <w:uiPriority w:val="99"/>
    <w:semiHidden/>
    <w:unhideWhenUsed/>
    <w:rsid w:val="001F285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F285C"/>
    <w:rPr>
      <w:rFonts w:ascii="Tahoma" w:hAnsi="Tahoma" w:cs="Tahoma"/>
      <w:sz w:val="16"/>
      <w:szCs w:val="16"/>
      <w:lang w:eastAsia="en-US"/>
    </w:rPr>
  </w:style>
  <w:style w:type="paragraph" w:styleId="Rvision">
    <w:name w:val="Revision"/>
    <w:hidden/>
    <w:uiPriority w:val="99"/>
    <w:semiHidden/>
    <w:rsid w:val="003E5C0F"/>
    <w:rPr>
      <w:sz w:val="22"/>
      <w:szCs w:val="22"/>
      <w:lang w:eastAsia="en-US"/>
    </w:rPr>
  </w:style>
  <w:style w:type="paragraph" w:styleId="Paragraphedeliste">
    <w:name w:val="List Paragraph"/>
    <w:basedOn w:val="Normal"/>
    <w:uiPriority w:val="34"/>
    <w:qFormat/>
    <w:rsid w:val="00F43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8F2E0E"/>
    <w:pPr>
      <w:spacing w:after="0" w:line="240" w:lineRule="auto"/>
    </w:pPr>
    <w:rPr>
      <w:rFonts w:ascii="Times New Roman" w:eastAsia="Times New Roman" w:hAnsi="Times New Roman"/>
      <w:b/>
      <w:bCs/>
      <w:sz w:val="20"/>
      <w:szCs w:val="20"/>
      <w:lang w:eastAsia="fr-FR"/>
    </w:rPr>
  </w:style>
  <w:style w:type="character" w:styleId="Hyperlink">
    <w:name w:val="Hyperlink"/>
    <w:uiPriority w:val="99"/>
    <w:rsid w:val="006B7820"/>
    <w:rPr>
      <w:color w:val="0000FF"/>
      <w:u w:val="single"/>
    </w:rPr>
  </w:style>
  <w:style w:type="character" w:styleId="CommentReference">
    <w:name w:val="annotation reference"/>
    <w:uiPriority w:val="99"/>
    <w:semiHidden/>
    <w:unhideWhenUsed/>
    <w:rsid w:val="001F285C"/>
    <w:rPr>
      <w:sz w:val="16"/>
      <w:szCs w:val="16"/>
    </w:rPr>
  </w:style>
  <w:style w:type="paragraph" w:styleId="CommentText">
    <w:name w:val="annotation text"/>
    <w:basedOn w:val="Normal"/>
    <w:link w:val="CommentTextChar"/>
    <w:uiPriority w:val="99"/>
    <w:semiHidden/>
    <w:unhideWhenUsed/>
    <w:rsid w:val="001F285C"/>
    <w:rPr>
      <w:sz w:val="20"/>
      <w:szCs w:val="20"/>
    </w:rPr>
  </w:style>
  <w:style w:type="character" w:customStyle="1" w:styleId="CommentTextChar">
    <w:name w:val="Comment Text Char"/>
    <w:link w:val="CommentText"/>
    <w:uiPriority w:val="99"/>
    <w:semiHidden/>
    <w:rsid w:val="001F285C"/>
    <w:rPr>
      <w:lang w:eastAsia="en-US"/>
    </w:rPr>
  </w:style>
  <w:style w:type="paragraph" w:styleId="CommentSubject">
    <w:name w:val="annotation subject"/>
    <w:basedOn w:val="CommentText"/>
    <w:next w:val="CommentText"/>
    <w:link w:val="CommentSubjectChar"/>
    <w:uiPriority w:val="99"/>
    <w:semiHidden/>
    <w:unhideWhenUsed/>
    <w:rsid w:val="001F285C"/>
    <w:rPr>
      <w:b/>
      <w:bCs/>
    </w:rPr>
  </w:style>
  <w:style w:type="character" w:customStyle="1" w:styleId="CommentSubjectChar">
    <w:name w:val="Comment Subject Char"/>
    <w:link w:val="CommentSubject"/>
    <w:uiPriority w:val="99"/>
    <w:semiHidden/>
    <w:rsid w:val="001F285C"/>
    <w:rPr>
      <w:b/>
      <w:bCs/>
      <w:lang w:eastAsia="en-US"/>
    </w:rPr>
  </w:style>
  <w:style w:type="paragraph" w:styleId="BalloonText">
    <w:name w:val="Balloon Text"/>
    <w:basedOn w:val="Normal"/>
    <w:link w:val="BalloonTextChar"/>
    <w:uiPriority w:val="99"/>
    <w:semiHidden/>
    <w:unhideWhenUsed/>
    <w:rsid w:val="001F28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285C"/>
    <w:rPr>
      <w:rFonts w:ascii="Tahoma" w:hAnsi="Tahoma" w:cs="Tahoma"/>
      <w:sz w:val="16"/>
      <w:szCs w:val="16"/>
      <w:lang w:eastAsia="en-US"/>
    </w:rPr>
  </w:style>
  <w:style w:type="paragraph" w:styleId="Revision">
    <w:name w:val="Revision"/>
    <w:hidden/>
    <w:uiPriority w:val="99"/>
    <w:semiHidden/>
    <w:rsid w:val="003E5C0F"/>
    <w:rPr>
      <w:sz w:val="22"/>
      <w:szCs w:val="22"/>
      <w:lang w:eastAsia="en-US"/>
    </w:rPr>
  </w:style>
  <w:style w:type="paragraph" w:styleId="ListParagraph">
    <w:name w:val="List Paragraph"/>
    <w:basedOn w:val="Normal"/>
    <w:uiPriority w:val="34"/>
    <w:qFormat/>
    <w:rsid w:val="00F43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88E6-48A9-499A-91C7-A042C7C1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4607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Ausaid</dc:creator>
  <cp:lastModifiedBy>MAHE</cp:lastModifiedBy>
  <cp:revision>2</cp:revision>
  <dcterms:created xsi:type="dcterms:W3CDTF">2015-04-22T09:40:00Z</dcterms:created>
  <dcterms:modified xsi:type="dcterms:W3CDTF">2015-04-22T09:40:00Z</dcterms:modified>
</cp:coreProperties>
</file>