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D9" w:rsidRPr="00AA64B3" w:rsidRDefault="00353ED9" w:rsidP="001C67C2">
      <w:pPr>
        <w:contextualSpacing/>
        <w:jc w:val="center"/>
        <w:rPr>
          <w:b/>
          <w:bCs/>
          <w:sz w:val="36"/>
          <w:szCs w:val="36"/>
        </w:rPr>
      </w:pPr>
      <w:r w:rsidRPr="00AA64B3">
        <w:rPr>
          <w:b/>
          <w:bCs/>
          <w:sz w:val="36"/>
          <w:szCs w:val="36"/>
        </w:rPr>
        <w:t>International Conference on African Large River Basins Hydrology</w:t>
      </w:r>
    </w:p>
    <w:p w:rsidR="00F91F54" w:rsidRPr="00897EE4" w:rsidRDefault="00F91F54" w:rsidP="00F91F54">
      <w:pPr>
        <w:spacing w:line="360" w:lineRule="auto"/>
        <w:jc w:val="center"/>
        <w:rPr>
          <w:b/>
          <w:sz w:val="24"/>
          <w:szCs w:val="24"/>
        </w:rPr>
      </w:pPr>
      <w:r w:rsidRPr="00897EE4">
        <w:rPr>
          <w:b/>
          <w:sz w:val="24"/>
          <w:szCs w:val="24"/>
        </w:rPr>
        <w:t>Tracing groundwater salinization processes in an inland aquifer: a hydrogeochemical and isotopic approach in Sminja aquifer, Northeast of Tunisia</w:t>
      </w:r>
    </w:p>
    <w:p w:rsidR="00353ED9" w:rsidRPr="00353ED9" w:rsidRDefault="00353ED9" w:rsidP="001C67C2">
      <w:pPr>
        <w:contextualSpacing/>
        <w:rPr>
          <w:b/>
          <w:bCs/>
          <w:sz w:val="22"/>
          <w:szCs w:val="22"/>
        </w:rPr>
      </w:pPr>
      <w:r w:rsidRPr="00353ED9">
        <w:rPr>
          <w:b/>
          <w:bCs/>
          <w:sz w:val="22"/>
          <w:szCs w:val="22"/>
        </w:rPr>
        <w:t>Sabrine Mejri</w:t>
      </w:r>
      <w:r w:rsidRPr="00353ED9">
        <w:rPr>
          <w:b/>
          <w:bCs/>
          <w:sz w:val="22"/>
          <w:szCs w:val="22"/>
          <w:vertAlign w:val="superscript"/>
        </w:rPr>
        <w:t>*</w:t>
      </w:r>
      <w:r w:rsidR="000D330B">
        <w:rPr>
          <w:b/>
          <w:bCs/>
          <w:sz w:val="22"/>
          <w:szCs w:val="22"/>
          <w:vertAlign w:val="superscript"/>
        </w:rPr>
        <w:t>3</w:t>
      </w:r>
      <w:r w:rsidRPr="00353ED9">
        <w:rPr>
          <w:b/>
          <w:bCs/>
          <w:sz w:val="22"/>
          <w:szCs w:val="22"/>
        </w:rPr>
        <w:t>, Anis Chekirbane</w:t>
      </w:r>
      <w:r w:rsidRPr="00353ED9">
        <w:rPr>
          <w:b/>
          <w:bCs/>
          <w:sz w:val="22"/>
          <w:szCs w:val="22"/>
          <w:vertAlign w:val="superscript"/>
        </w:rPr>
        <w:t>1</w:t>
      </w:r>
      <w:r w:rsidRPr="00353ED9">
        <w:rPr>
          <w:b/>
          <w:bCs/>
          <w:sz w:val="22"/>
          <w:szCs w:val="22"/>
        </w:rPr>
        <w:t>, Maki Tsujimura</w:t>
      </w:r>
      <w:r w:rsidRPr="00353ED9">
        <w:rPr>
          <w:b/>
          <w:bCs/>
          <w:sz w:val="22"/>
          <w:szCs w:val="22"/>
          <w:vertAlign w:val="superscript"/>
        </w:rPr>
        <w:t>2</w:t>
      </w:r>
      <w:r w:rsidRPr="00353ED9">
        <w:rPr>
          <w:b/>
          <w:bCs/>
          <w:sz w:val="22"/>
          <w:szCs w:val="22"/>
        </w:rPr>
        <w:t>, Ammar Mlayah</w:t>
      </w:r>
      <w:r w:rsidRPr="00353ED9">
        <w:rPr>
          <w:b/>
          <w:bCs/>
          <w:sz w:val="22"/>
          <w:szCs w:val="22"/>
          <w:vertAlign w:val="superscript"/>
        </w:rPr>
        <w:t>1</w:t>
      </w:r>
      <w:r w:rsidRPr="00353ED9">
        <w:rPr>
          <w:b/>
          <w:bCs/>
          <w:sz w:val="22"/>
          <w:szCs w:val="22"/>
        </w:rPr>
        <w:t xml:space="preserve"> et Mabrouk Boughdiri</w:t>
      </w:r>
      <w:r w:rsidRPr="00353ED9">
        <w:rPr>
          <w:b/>
          <w:bCs/>
          <w:sz w:val="22"/>
          <w:szCs w:val="22"/>
          <w:vertAlign w:val="superscript"/>
        </w:rPr>
        <w:t>3</w:t>
      </w:r>
    </w:p>
    <w:p w:rsidR="00353ED9" w:rsidRPr="00353ED9" w:rsidRDefault="00353ED9" w:rsidP="001C67C2">
      <w:pPr>
        <w:contextualSpacing/>
        <w:rPr>
          <w:b/>
          <w:bCs/>
        </w:rPr>
      </w:pPr>
    </w:p>
    <w:p w:rsidR="00353ED9" w:rsidRPr="00031F54" w:rsidRDefault="00353ED9" w:rsidP="001C67C2">
      <w:pPr>
        <w:contextualSpacing/>
        <w:jc w:val="left"/>
        <w:rPr>
          <w:sz w:val="18"/>
          <w:szCs w:val="18"/>
          <w:lang w:val="fr-FR"/>
        </w:rPr>
      </w:pPr>
      <w:r w:rsidRPr="00353ED9">
        <w:rPr>
          <w:sz w:val="18"/>
          <w:szCs w:val="18"/>
          <w:vertAlign w:val="superscript"/>
        </w:rPr>
        <w:t xml:space="preserve">              </w:t>
      </w:r>
      <w:r w:rsidRPr="00031F54">
        <w:rPr>
          <w:sz w:val="18"/>
          <w:szCs w:val="18"/>
          <w:vertAlign w:val="superscript"/>
          <w:lang w:val="fr-FR"/>
        </w:rPr>
        <w:t>1</w:t>
      </w:r>
      <w:r w:rsidRPr="00031F54">
        <w:rPr>
          <w:sz w:val="18"/>
          <w:szCs w:val="18"/>
          <w:lang w:val="fr-FR"/>
        </w:rPr>
        <w:t xml:space="preserve"> Laboratoire de Géo-ressources, Centre de Recherches et des Technologies des Eaux de Borj Cédria, BP 273, Soliman, Tunisie</w:t>
      </w:r>
    </w:p>
    <w:p w:rsidR="00353ED9" w:rsidRPr="00031F54" w:rsidRDefault="00353ED9" w:rsidP="001C67C2">
      <w:pPr>
        <w:contextualSpacing/>
        <w:jc w:val="left"/>
        <w:rPr>
          <w:sz w:val="18"/>
          <w:szCs w:val="18"/>
          <w:lang w:val="fr-FR"/>
        </w:rPr>
      </w:pPr>
      <w:r>
        <w:rPr>
          <w:vertAlign w:val="superscript"/>
          <w:lang w:val="fr-FR"/>
        </w:rPr>
        <w:t xml:space="preserve">             </w:t>
      </w:r>
      <w:r w:rsidRPr="00031F54">
        <w:rPr>
          <w:sz w:val="18"/>
          <w:szCs w:val="18"/>
          <w:vertAlign w:val="superscript"/>
          <w:lang w:val="fr-FR"/>
        </w:rPr>
        <w:t>2</w:t>
      </w:r>
      <w:r w:rsidRPr="00031F54">
        <w:rPr>
          <w:sz w:val="18"/>
          <w:szCs w:val="18"/>
          <w:lang w:val="fr-FR"/>
        </w:rPr>
        <w:t xml:space="preserve"> Faculty of Life and Environmental Sciences, Université de Tsukuba, Japon</w:t>
      </w:r>
    </w:p>
    <w:p w:rsidR="00353ED9" w:rsidRPr="00031F54" w:rsidRDefault="00353ED9" w:rsidP="001C67C2">
      <w:pPr>
        <w:contextualSpacing/>
        <w:jc w:val="left"/>
        <w:rPr>
          <w:sz w:val="18"/>
          <w:szCs w:val="18"/>
          <w:lang w:val="fr-FR"/>
        </w:rPr>
      </w:pPr>
      <w:r w:rsidRPr="00031F54">
        <w:rPr>
          <w:sz w:val="18"/>
          <w:szCs w:val="18"/>
          <w:vertAlign w:val="superscript"/>
          <w:lang w:val="fr-FR"/>
        </w:rPr>
        <w:t xml:space="preserve">             3</w:t>
      </w:r>
      <w:r w:rsidRPr="00031F54">
        <w:rPr>
          <w:sz w:val="18"/>
          <w:szCs w:val="18"/>
          <w:lang w:val="fr-FR"/>
        </w:rPr>
        <w:t xml:space="preserve"> Département des Sciences de la Terre, Faculté des Sciences de Bizerte, Tunisie</w:t>
      </w:r>
    </w:p>
    <w:p w:rsidR="00353ED9" w:rsidRPr="00353ED9" w:rsidRDefault="00353ED9" w:rsidP="001C67C2">
      <w:pPr>
        <w:contextualSpacing/>
        <w:jc w:val="left"/>
      </w:pPr>
      <w:r w:rsidRPr="00B2580E">
        <w:rPr>
          <w:sz w:val="18"/>
          <w:szCs w:val="18"/>
          <w:lang w:val="fr-FR"/>
        </w:rPr>
        <w:t xml:space="preserve">         </w:t>
      </w:r>
      <w:r w:rsidRPr="00353ED9">
        <w:rPr>
          <w:sz w:val="18"/>
          <w:szCs w:val="18"/>
        </w:rPr>
        <w:t xml:space="preserve">*Email : </w:t>
      </w:r>
      <w:hyperlink r:id="rId8" w:history="1">
        <w:r w:rsidRPr="00353ED9">
          <w:rPr>
            <w:rStyle w:val="Lienhypertexte"/>
            <w:sz w:val="18"/>
            <w:szCs w:val="18"/>
          </w:rPr>
          <w:t>msabrine55@yahoo.com</w:t>
        </w:r>
      </w:hyperlink>
    </w:p>
    <w:p w:rsidR="00353ED9" w:rsidRPr="00353ED9" w:rsidRDefault="00353ED9" w:rsidP="001C67C2">
      <w:pPr>
        <w:pStyle w:val="Author"/>
        <w:contextualSpacing/>
        <w:rPr>
          <w:sz w:val="20"/>
        </w:rPr>
      </w:pPr>
    </w:p>
    <w:p w:rsidR="00353ED9" w:rsidRPr="00353ED9" w:rsidRDefault="00353ED9" w:rsidP="001C67C2">
      <w:pPr>
        <w:pStyle w:val="Author"/>
        <w:contextualSpacing/>
        <w:rPr>
          <w:sz w:val="20"/>
        </w:rPr>
        <w:sectPr w:rsidR="00353ED9" w:rsidRPr="00353ED9" w:rsidSect="00353ED9">
          <w:footerReference w:type="default" r:id="rId9"/>
          <w:type w:val="continuous"/>
          <w:pgSz w:w="12240" w:h="15840" w:code="1"/>
          <w:pgMar w:top="1224" w:right="1080" w:bottom="1440" w:left="1080" w:header="720" w:footer="720" w:gutter="0"/>
          <w:cols w:space="720"/>
          <w:docGrid w:linePitch="360"/>
        </w:sectPr>
      </w:pPr>
    </w:p>
    <w:p w:rsidR="00353ED9" w:rsidRPr="002B768B" w:rsidRDefault="00353ED9" w:rsidP="001C67C2">
      <w:pPr>
        <w:contextualSpacing/>
        <w:rPr>
          <w:rFonts w:ascii="Arial" w:hAnsi="Arial" w:cs="Arial"/>
          <w:b/>
          <w:bCs/>
          <w:sz w:val="18"/>
          <w:szCs w:val="18"/>
        </w:rPr>
      </w:pPr>
      <w:r w:rsidRPr="002B768B">
        <w:rPr>
          <w:rFonts w:ascii="Arial" w:hAnsi="Arial" w:cs="Arial"/>
          <w:b/>
          <w:bCs/>
          <w:sz w:val="18"/>
          <w:szCs w:val="18"/>
        </w:rPr>
        <w:lastRenderedPageBreak/>
        <w:t>ABSTRACT</w:t>
      </w:r>
    </w:p>
    <w:p w:rsidR="00353ED9" w:rsidRPr="002736D8" w:rsidRDefault="00353ED9" w:rsidP="001C67C2">
      <w:pPr>
        <w:contextualSpacing/>
        <w:rPr>
          <w:rFonts w:ascii="Calibri" w:hAnsi="Calibri" w:cs="Arial"/>
          <w:b/>
          <w:bCs/>
          <w:sz w:val="18"/>
          <w:szCs w:val="18"/>
        </w:rPr>
      </w:pPr>
      <w:r w:rsidRPr="002736D8">
        <w:t>Groundwater and surface water of the plain of Sminja (northeastern of Tunisia) are largely influenced by salini</w:t>
      </w:r>
      <w:r w:rsidR="004C3886">
        <w:t>z</w:t>
      </w:r>
      <w:r w:rsidRPr="002736D8">
        <w:t xml:space="preserve">ation. In some parts of the aquifer, salinity </w:t>
      </w:r>
      <w:r w:rsidR="004C3886">
        <w:t>reaches</w:t>
      </w:r>
      <w:r w:rsidRPr="002736D8">
        <w:t xml:space="preserve"> </w:t>
      </w:r>
      <w:r w:rsidRPr="002736D8">
        <w:rPr>
          <w:color w:val="000000"/>
        </w:rPr>
        <w:t>12 g/</w:t>
      </w:r>
      <w:r w:rsidRPr="002736D8">
        <w:t xml:space="preserve">L. In order to delineate the saline water plumes, understand the processes and mechanisms that control the evolution of this phenomenon, geochemical data were used to characterize and classify the water samples based on a variety of ion plots and diagrams. Stable isotopes are useful tools to understand recharge processes and to differentiate between different salinity origins. Thus, the salinized parts of the aquifer were delineated basing on the results of a geophysical survey </w:t>
      </w:r>
      <w:r w:rsidRPr="002736D8">
        <w:rPr>
          <w:color w:val="000000"/>
        </w:rPr>
        <w:t>(78</w:t>
      </w:r>
      <w:r w:rsidRPr="002736D8">
        <w:t xml:space="preserve"> vertical electrical soundings). Indeed, the evolution of the groundwater salinization according to the main flow direction is principally caused by natural phenomenon represented by dissolution / precipitation of minerals dispersed in the saline reservoir formation (Trias) and ion exchange between different ions (rock-water interaction). Furthermore, anthropogenic phenomenon represented by the return-flow of irrigation water and the use of nitrogen fertilizers were identified as non negligible contamination sources in the northeastern part of the aquifer near the irrigated perimeters.</w:t>
      </w:r>
    </w:p>
    <w:p w:rsidR="00353ED9" w:rsidRDefault="00353ED9" w:rsidP="001C67C2">
      <w:pPr>
        <w:contextualSpacing/>
      </w:pPr>
      <w:r w:rsidRPr="002736D8">
        <w:rPr>
          <w:b/>
          <w:bCs/>
        </w:rPr>
        <w:t>Keywords</w:t>
      </w:r>
      <w:r w:rsidRPr="002736D8">
        <w:t>: groundwater, salinization, rock-water interaction, irrigation return-flow, Sminja aquifer</w:t>
      </w:r>
    </w:p>
    <w:p w:rsidR="00353ED9" w:rsidRPr="004D362C" w:rsidRDefault="00353ED9" w:rsidP="001C67C2">
      <w:pPr>
        <w:contextualSpacing/>
        <w:jc w:val="left"/>
        <w:rPr>
          <w:rFonts w:ascii="Arial" w:hAnsi="Arial" w:cs="Arial"/>
          <w:b/>
          <w:bCs/>
          <w:sz w:val="18"/>
          <w:szCs w:val="18"/>
        </w:rPr>
      </w:pPr>
      <w:r w:rsidRPr="004D362C">
        <w:rPr>
          <w:rFonts w:ascii="Arial" w:hAnsi="Arial" w:cs="Arial"/>
          <w:b/>
          <w:bCs/>
          <w:sz w:val="18"/>
          <w:szCs w:val="18"/>
        </w:rPr>
        <w:t>INTRODUCTION</w:t>
      </w:r>
    </w:p>
    <w:p w:rsidR="00353ED9" w:rsidRPr="00A05AEC" w:rsidRDefault="00353ED9" w:rsidP="001C67C2">
      <w:pPr>
        <w:autoSpaceDE w:val="0"/>
        <w:autoSpaceDN w:val="0"/>
        <w:adjustRightInd w:val="0"/>
        <w:spacing w:after="0"/>
        <w:contextualSpacing/>
      </w:pPr>
      <w:r w:rsidRPr="00A05AEC">
        <w:t xml:space="preserve">Nowadays, in arid and semi-arid region, salinization is identified as an environmental hazard </w:t>
      </w:r>
      <w:r w:rsidR="004C3886" w:rsidRPr="00A05AEC">
        <w:t>affect</w:t>
      </w:r>
      <w:r w:rsidR="004C3886">
        <w:t>ing</w:t>
      </w:r>
      <w:r w:rsidR="004C3886" w:rsidRPr="00A05AEC">
        <w:t xml:space="preserve"> </w:t>
      </w:r>
      <w:r w:rsidRPr="00A05AEC">
        <w:t>groundwater and surface water resources and is characterized, in some cases, by its irreversible state (</w:t>
      </w:r>
      <w:r w:rsidRPr="00A05AEC">
        <w:rPr>
          <w:color w:val="0000CC"/>
        </w:rPr>
        <w:t>Kosmas et al., 2006</w:t>
      </w:r>
      <w:r w:rsidRPr="00A05AEC">
        <w:t>). Groundwater salinization can be the joint result from point sources such as salts in the parent aquifer material, recharge from salt water intrusion, and saline water flows from adjacent or underlying aquifers (</w:t>
      </w:r>
      <w:r w:rsidRPr="00A05AEC">
        <w:rPr>
          <w:color w:val="0000CC"/>
        </w:rPr>
        <w:t>Intisar et al. 2014</w:t>
      </w:r>
      <w:r w:rsidRPr="00A05AEC">
        <w:t>), or non-point sources such as pesticides, nitrates and irrigation return flows (</w:t>
      </w:r>
      <w:r w:rsidRPr="00A05AEC">
        <w:rPr>
          <w:color w:val="0000CC"/>
        </w:rPr>
        <w:t>Cardona et al. 2004</w:t>
      </w:r>
      <w:r w:rsidRPr="00A05AEC">
        <w:t xml:space="preserve">), that is mostly the result of agricultural activities. The phenomenon of groundwater salinization is studied and investigated by several authors especially in coastal areas </w:t>
      </w:r>
      <w:r w:rsidRPr="00A05AEC">
        <w:rPr>
          <w:color w:val="000000"/>
        </w:rPr>
        <w:t>(</w:t>
      </w:r>
      <w:r w:rsidRPr="00A05AEC">
        <w:rPr>
          <w:color w:val="0000CC"/>
        </w:rPr>
        <w:t>Chekirbane et al. 2013, Kouzana et al, 2009, Pablo 2004, Kim et al. 2003, Fakhir et al. 2001</w:t>
      </w:r>
      <w:r w:rsidRPr="00A05AEC">
        <w:rPr>
          <w:color w:val="000000"/>
        </w:rPr>
        <w:t>)</w:t>
      </w:r>
      <w:r w:rsidR="004C3886">
        <w:rPr>
          <w:color w:val="0000CC"/>
        </w:rPr>
        <w:t>. However</w:t>
      </w:r>
      <w:r w:rsidRPr="00A05AEC">
        <w:t xml:space="preserve">, in inland areas </w:t>
      </w:r>
      <w:r w:rsidR="004C3886">
        <w:t xml:space="preserve">it </w:t>
      </w:r>
      <w:r w:rsidRPr="00A05AEC">
        <w:t xml:space="preserve">is rarely considered. Also, most of </w:t>
      </w:r>
      <w:r w:rsidR="004C3886" w:rsidRPr="00A05AEC">
        <w:t>th</w:t>
      </w:r>
      <w:r w:rsidR="004C3886">
        <w:t>ese</w:t>
      </w:r>
      <w:r w:rsidR="004C3886" w:rsidRPr="00A05AEC">
        <w:t xml:space="preserve"> </w:t>
      </w:r>
      <w:r w:rsidRPr="00A05AEC">
        <w:t xml:space="preserve">studies </w:t>
      </w:r>
      <w:r w:rsidRPr="00A05AEC">
        <w:lastRenderedPageBreak/>
        <w:t xml:space="preserve">suggest that salinization of groundwater have been caused by natural processes rather than </w:t>
      </w:r>
      <w:r w:rsidR="004C3886">
        <w:t xml:space="preserve">anthropogenic factors such as </w:t>
      </w:r>
      <w:r w:rsidRPr="00A05AEC">
        <w:t>agricultural activities or irrigation return flow, whereas, this type of pollution is considered to be the major contributor to water contamination worldwide (</w:t>
      </w:r>
      <w:r w:rsidRPr="00A05AEC">
        <w:rPr>
          <w:color w:val="0000CC"/>
        </w:rPr>
        <w:t>Duda, 1993</w:t>
      </w:r>
      <w:r w:rsidRPr="00A05AEC">
        <w:t xml:space="preserve">). </w:t>
      </w:r>
      <w:r w:rsidR="004C3886">
        <w:t>Sminja plain is located in North East of Tunisia in the upstream part of Wadi Miliane watershed</w:t>
      </w:r>
      <w:r w:rsidR="00E53457">
        <w:t xml:space="preserve"> where groundwater quality is deteriorated. Although,</w:t>
      </w:r>
      <w:r w:rsidR="00E53457" w:rsidRPr="00E53457">
        <w:t xml:space="preserve"> </w:t>
      </w:r>
      <w:r w:rsidR="00E53457">
        <w:t>in this zone,</w:t>
      </w:r>
      <w:r w:rsidRPr="00A05AEC">
        <w:t xml:space="preserve"> no comprehensive study of the hydrogeological framework and groundwater </w:t>
      </w:r>
      <w:r w:rsidR="007400C4" w:rsidRPr="00A05AEC">
        <w:t>resources was</w:t>
      </w:r>
      <w:r w:rsidRPr="00A05AEC">
        <w:t xml:space="preserve"> carried.</w:t>
      </w:r>
      <w:r w:rsidR="00E53457">
        <w:t xml:space="preserve"> The objectives of this study are to clarify the origins of groundwater salinization of Sminja aquifer as well as understanding the mechanisms which control its evolution using geophysical methods and geochemical and isotopic tracers.</w:t>
      </w:r>
    </w:p>
    <w:p w:rsidR="00353ED9" w:rsidRPr="00353ED9" w:rsidRDefault="00353ED9" w:rsidP="001C67C2">
      <w:pPr>
        <w:autoSpaceDE w:val="0"/>
        <w:autoSpaceDN w:val="0"/>
        <w:adjustRightInd w:val="0"/>
        <w:spacing w:after="0"/>
        <w:contextualSpacing/>
        <w:rPr>
          <w:rFonts w:ascii="Arial" w:hAnsi="Arial" w:cs="Arial"/>
          <w:b/>
          <w:bCs/>
          <w:sz w:val="18"/>
          <w:szCs w:val="18"/>
        </w:rPr>
      </w:pPr>
    </w:p>
    <w:p w:rsidR="00353ED9" w:rsidRPr="00353ED9" w:rsidRDefault="00353ED9" w:rsidP="001C67C2">
      <w:pPr>
        <w:autoSpaceDE w:val="0"/>
        <w:autoSpaceDN w:val="0"/>
        <w:adjustRightInd w:val="0"/>
        <w:spacing w:after="0"/>
        <w:contextualSpacing/>
        <w:rPr>
          <w:rFonts w:ascii="Arial" w:hAnsi="Arial" w:cs="Arial"/>
          <w:b/>
          <w:bCs/>
          <w:sz w:val="18"/>
          <w:szCs w:val="18"/>
          <w:lang w:val="fr-FR"/>
        </w:rPr>
      </w:pPr>
      <w:r w:rsidRPr="00353ED9">
        <w:rPr>
          <w:rFonts w:ascii="Arial" w:hAnsi="Arial" w:cs="Arial"/>
          <w:b/>
          <w:bCs/>
          <w:sz w:val="18"/>
          <w:szCs w:val="18"/>
          <w:lang w:val="fr-FR"/>
        </w:rPr>
        <w:t>Contribution of geo-electric soundings</w:t>
      </w:r>
    </w:p>
    <w:p w:rsidR="009F7475" w:rsidRPr="002736D8" w:rsidRDefault="009F7475" w:rsidP="001C67C2">
      <w:pPr>
        <w:contextualSpacing/>
      </w:pPr>
      <w:r>
        <w:t xml:space="preserve">In order to better understanding the hydrogeological behavior of subsurface formations and delineate different areas affected by </w:t>
      </w:r>
      <w:r w:rsidR="003B7D25">
        <w:t>salinization</w:t>
      </w:r>
      <w:r>
        <w:t xml:space="preserve">, we took over </w:t>
      </w:r>
      <w:r w:rsidR="003B7D25">
        <w:t xml:space="preserve">some </w:t>
      </w:r>
      <w:r>
        <w:t xml:space="preserve">geophysical surveys carried out in the plain of Sminja and reinterpreted the results obtained based on all data provided by the different surface wells and boreholes recently executed. Geophysical study is based on 78 vertical electrical sounding performed by </w:t>
      </w:r>
      <w:r w:rsidRPr="00D52DDA">
        <w:rPr>
          <w:color w:val="0000FF"/>
        </w:rPr>
        <w:t>Rejeb, 1982</w:t>
      </w:r>
      <w:r>
        <w:t xml:space="preserve">.The apparent resistivity map </w:t>
      </w:r>
      <w:r w:rsidR="00EE0360">
        <w:t xml:space="preserve">(Fig. 1) </w:t>
      </w:r>
      <w:r>
        <w:t xml:space="preserve">with wavelength AB = 400m and a depth of investigation of 100 m, has allowed to identify four main areas: the first area situated in the North - West, with resistivity between 10 and 20 </w:t>
      </w:r>
      <w:r w:rsidR="003B7D25">
        <w:t>Ω.m</w:t>
      </w:r>
      <w:r>
        <w:t xml:space="preserve">, </w:t>
      </w:r>
      <w:r w:rsidRPr="0048119A">
        <w:t>characterized by outcrops of Oligocene sandstones of Jebel Jahfa</w:t>
      </w:r>
      <w:r>
        <w:t xml:space="preserve">. This area </w:t>
      </w:r>
      <w:r w:rsidR="005E2F37">
        <w:t xml:space="preserve">is </w:t>
      </w:r>
      <w:r>
        <w:t xml:space="preserve">considered as an interesting hydrogeological potential. A second area more interesting located further south - east where consist of a sandy clay aquifer with a resistivity between 10 to 30 </w:t>
      </w:r>
      <w:r w:rsidR="003B7D25">
        <w:t>Ω.m</w:t>
      </w:r>
      <w:r>
        <w:t>. The third and the fourth areas located in the North and the North – East, are considered as not interesting hydrogeological potential because of the high salinity and the lithology of the geological formation which is basically clay.</w:t>
      </w:r>
    </w:p>
    <w:p w:rsidR="00353ED9" w:rsidRPr="00906B4B" w:rsidRDefault="00353ED9" w:rsidP="001C67C2">
      <w:pPr>
        <w:spacing w:line="360" w:lineRule="auto"/>
        <w:contextualSpacing/>
        <w:rPr>
          <w:rFonts w:ascii="Arial" w:hAnsi="Arial" w:cs="Arial"/>
          <w:b/>
          <w:bCs/>
          <w:sz w:val="18"/>
          <w:szCs w:val="18"/>
        </w:rPr>
      </w:pPr>
      <w:r w:rsidRPr="00906B4B">
        <w:rPr>
          <w:rFonts w:ascii="Arial" w:hAnsi="Arial" w:cs="Arial"/>
          <w:b/>
          <w:bCs/>
          <w:sz w:val="18"/>
          <w:szCs w:val="18"/>
        </w:rPr>
        <w:t xml:space="preserve">Water types </w:t>
      </w:r>
    </w:p>
    <w:p w:rsidR="00D87F69" w:rsidRDefault="004D26D4" w:rsidP="001C67C2">
      <w:pPr>
        <w:contextualSpacing/>
      </w:pPr>
      <w:r>
        <w:t xml:space="preserve">A field survey was conducted in the study area during which surface water (river and dam) and groundwater (deep and shallow aquifers) were sampled in different locations of the plain. </w:t>
      </w:r>
      <w:r w:rsidR="00353ED9" w:rsidRPr="00906B4B">
        <w:t xml:space="preserve">A preliminary characterization </w:t>
      </w:r>
      <w:r>
        <w:t xml:space="preserve">was </w:t>
      </w:r>
      <w:r w:rsidR="00353ED9" w:rsidRPr="00906B4B">
        <w:t xml:space="preserve">carried out </w:t>
      </w:r>
      <w:r w:rsidR="00353ED9" w:rsidRPr="00906B4B">
        <w:lastRenderedPageBreak/>
        <w:t>using the piper triangular diagram (</w:t>
      </w:r>
      <w:r w:rsidR="00353ED9" w:rsidRPr="00906B4B">
        <w:rPr>
          <w:color w:val="0000CC"/>
        </w:rPr>
        <w:t>Piper, 1944</w:t>
      </w:r>
      <w:r w:rsidR="00353ED9" w:rsidRPr="00906B4B">
        <w:t xml:space="preserve">). This diagram was used in order to define the different water types and the classification of samples into </w:t>
      </w:r>
      <w:r w:rsidR="00353ED9" w:rsidRPr="00090A3A">
        <w:t>groups, the analysis of</w:t>
      </w:r>
      <w:r w:rsidR="00504DBE">
        <w:t xml:space="preserve"> </w:t>
      </w:r>
      <w:r w:rsidR="00353ED9" w:rsidRPr="00090A3A">
        <w:t>diagrams of anions and cations was a way to estimate geochemical processes in the aquifer (</w:t>
      </w:r>
      <w:r w:rsidR="00353ED9" w:rsidRPr="00504DBE">
        <w:rPr>
          <w:color w:val="0000FF"/>
        </w:rPr>
        <w:t>Hounslow, 1995</w:t>
      </w:r>
      <w:r w:rsidR="00353ED9" w:rsidRPr="00090A3A">
        <w:t xml:space="preserve">). The chemical compositions of the </w:t>
      </w:r>
      <w:r w:rsidRPr="00090A3A">
        <w:t>analy</w:t>
      </w:r>
      <w:r>
        <w:t>z</w:t>
      </w:r>
      <w:r w:rsidRPr="00090A3A">
        <w:t xml:space="preserve">ed </w:t>
      </w:r>
      <w:r w:rsidR="00353ED9" w:rsidRPr="00090A3A">
        <w:t xml:space="preserve">water samples are plotted on the </w:t>
      </w:r>
      <w:r>
        <w:t>P</w:t>
      </w:r>
      <w:r w:rsidRPr="00090A3A">
        <w:t xml:space="preserve">iper </w:t>
      </w:r>
      <w:r w:rsidR="00353ED9" w:rsidRPr="00090A3A">
        <w:t>trilinear equi</w:t>
      </w:r>
      <w:r w:rsidR="00EE0360">
        <w:t>valence diagrams shown in Fig. 2</w:t>
      </w:r>
      <w:r w:rsidR="00353ED9" w:rsidRPr="00090A3A">
        <w:t>. According to this diagram, three main groups of water samples could be identified on the basis of major concentrations, including facies 1: Ca–Mg–HCO</w:t>
      </w:r>
      <w:r w:rsidR="00353ED9" w:rsidRPr="00090A3A">
        <w:rPr>
          <w:vertAlign w:val="subscript"/>
        </w:rPr>
        <w:t>3</w:t>
      </w:r>
      <w:r w:rsidR="00353ED9" w:rsidRPr="00090A3A">
        <w:t>, weakly mineralized and predominant water type in the carbonate-rock aquifers because calcite and dolomite are abundant in these aquifers, located in the recharge areas (piedmont of djebel Zaghouan and Djahfa</w:t>
      </w:r>
      <w:r w:rsidRPr="00090A3A">
        <w:t>)</w:t>
      </w:r>
      <w:r>
        <w:t>;</w:t>
      </w:r>
      <w:r w:rsidRPr="00090A3A">
        <w:t xml:space="preserve"> </w:t>
      </w:r>
      <w:r w:rsidR="00353ED9" w:rsidRPr="00090A3A">
        <w:t>facies 2: Ca–Mg–SO</w:t>
      </w:r>
      <w:r w:rsidR="00353ED9" w:rsidRPr="00090A3A">
        <w:rPr>
          <w:vertAlign w:val="subscript"/>
        </w:rPr>
        <w:t>4</w:t>
      </w:r>
      <w:r w:rsidR="00353ED9" w:rsidRPr="00090A3A">
        <w:t>-NO</w:t>
      </w:r>
      <w:r w:rsidR="00353ED9" w:rsidRPr="00090A3A">
        <w:rPr>
          <w:vertAlign w:val="subscript"/>
        </w:rPr>
        <w:t>3</w:t>
      </w:r>
      <w:r w:rsidR="00353ED9" w:rsidRPr="00090A3A">
        <w:t xml:space="preserve"> reflects the influence of land use activities (excess of NO</w:t>
      </w:r>
      <w:r w:rsidR="00353ED9" w:rsidRPr="00090A3A">
        <w:rPr>
          <w:vertAlign w:val="subscript"/>
        </w:rPr>
        <w:t>3</w:t>
      </w:r>
      <w:r w:rsidR="00353ED9" w:rsidRPr="00090A3A">
        <w:t xml:space="preserve">) on groundwater mineralization, </w:t>
      </w:r>
      <w:r w:rsidRPr="00090A3A">
        <w:t>loca</w:t>
      </w:r>
      <w:r>
        <w:t>t</w:t>
      </w:r>
      <w:r w:rsidRPr="00090A3A">
        <w:t xml:space="preserve">ed </w:t>
      </w:r>
      <w:r w:rsidR="00353ED9" w:rsidRPr="00090A3A">
        <w:t xml:space="preserve">in the center and the downstream </w:t>
      </w:r>
      <w:r>
        <w:t xml:space="preserve">parts </w:t>
      </w:r>
      <w:r w:rsidR="00353ED9" w:rsidRPr="00090A3A">
        <w:t>of the plain (irrigated areas), and facies 3: Na–Cl type, generally located in the south-west (</w:t>
      </w:r>
      <w:r>
        <w:t>E</w:t>
      </w:r>
      <w:r w:rsidR="00353ED9" w:rsidRPr="00090A3A">
        <w:t>l Fahs</w:t>
      </w:r>
      <w:r>
        <w:t xml:space="preserve"> city</w:t>
      </w:r>
      <w:r w:rsidR="00353ED9" w:rsidRPr="00090A3A">
        <w:t>), in the north-west (</w:t>
      </w:r>
      <w:r>
        <w:t>D</w:t>
      </w:r>
      <w:r w:rsidRPr="00090A3A">
        <w:t xml:space="preserve">jebel </w:t>
      </w:r>
      <w:r w:rsidR="00353ED9" w:rsidRPr="00090A3A">
        <w:t xml:space="preserve">Aziz) and in the north-east near wadi El Melah. </w:t>
      </w:r>
      <w:r w:rsidR="00D87F69" w:rsidRPr="00676E40">
        <w:t>Indeed, a clear migration tendency towards chloride-nitrate pole is observed in the anionic diagram suggesting that return-flow of irrigation water and mixing phenomena as a process to explain the salinity evolution from fresh to saline water. An orientation towards sodium and magnesium poles is recognized for the cationic diagram, which may indicate that cation exchange and dissolution</w:t>
      </w:r>
      <w:r>
        <w:t xml:space="preserve"> may occur.</w:t>
      </w:r>
    </w:p>
    <w:p w:rsidR="00EE0360" w:rsidRDefault="005F460B" w:rsidP="001C67C2">
      <w:pPr>
        <w:contextualSpacing/>
      </w:pPr>
      <w:r>
        <w:rPr>
          <w:noProof/>
          <w:lang w:val="fr-FR" w:eastAsia="fr-FR"/>
        </w:rPr>
        <w:drawing>
          <wp:anchor distT="0" distB="0" distL="114300" distR="114300" simplePos="0" relativeHeight="251658752" behindDoc="0" locked="0" layoutInCell="1" allowOverlap="1">
            <wp:simplePos x="0" y="0"/>
            <wp:positionH relativeFrom="column">
              <wp:posOffset>3110865</wp:posOffset>
            </wp:positionH>
            <wp:positionV relativeFrom="paragraph">
              <wp:posOffset>-287655</wp:posOffset>
            </wp:positionV>
            <wp:extent cx="1775460" cy="1710055"/>
            <wp:effectExtent l="19050" t="0" r="0" b="0"/>
            <wp:wrapNone/>
            <wp:docPr id="27" name="Image 2" descr="D:\Thèse 2015.2016\Chimicals Analysis\Grapher_2015\JPG\SI Gyp vs Ca+S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Thèse 2015.2016\Chimicals Analysis\Grapher_2015\JPG\SI Gyp vs Ca+SO4.jpg"/>
                    <pic:cNvPicPr>
                      <a:picLocks noChangeAspect="1" noChangeArrowheads="1"/>
                    </pic:cNvPicPr>
                  </pic:nvPicPr>
                  <pic:blipFill>
                    <a:blip r:embed="rId10" cstate="print"/>
                    <a:srcRect/>
                    <a:stretch>
                      <a:fillRect/>
                    </a:stretch>
                  </pic:blipFill>
                  <pic:spPr bwMode="auto">
                    <a:xfrm>
                      <a:off x="0" y="0"/>
                      <a:ext cx="1775460" cy="1710055"/>
                    </a:xfrm>
                    <a:prstGeom prst="rect">
                      <a:avLst/>
                    </a:prstGeom>
                    <a:noFill/>
                    <a:ln w="9525">
                      <a:noFill/>
                      <a:miter lim="800000"/>
                      <a:headEnd/>
                      <a:tailEnd/>
                    </a:ln>
                  </pic:spPr>
                </pic:pic>
              </a:graphicData>
            </a:graphic>
          </wp:anchor>
        </w:drawing>
      </w:r>
      <w:r>
        <w:rPr>
          <w:noProof/>
          <w:lang w:val="fr-FR" w:eastAsia="fr-FR"/>
        </w:rPr>
        <w:drawing>
          <wp:anchor distT="0" distB="0" distL="114300" distR="114300" simplePos="0" relativeHeight="251659776" behindDoc="0" locked="0" layoutInCell="1" allowOverlap="1">
            <wp:simplePos x="0" y="0"/>
            <wp:positionH relativeFrom="column">
              <wp:posOffset>391160</wp:posOffset>
            </wp:positionH>
            <wp:positionV relativeFrom="paragraph">
              <wp:posOffset>45085</wp:posOffset>
            </wp:positionV>
            <wp:extent cx="2249170" cy="1588770"/>
            <wp:effectExtent l="19050" t="19050" r="17780" b="11430"/>
            <wp:wrapNone/>
            <wp:docPr id="30" name="Image 30" descr="carte de résistivité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rte de résistivité 1988"/>
                    <pic:cNvPicPr>
                      <a:picLocks noChangeAspect="1" noChangeArrowheads="1"/>
                    </pic:cNvPicPr>
                  </pic:nvPicPr>
                  <pic:blipFill>
                    <a:blip r:embed="rId11" cstate="print"/>
                    <a:srcRect/>
                    <a:stretch>
                      <a:fillRect/>
                    </a:stretch>
                  </pic:blipFill>
                  <pic:spPr bwMode="auto">
                    <a:xfrm>
                      <a:off x="0" y="0"/>
                      <a:ext cx="2249170" cy="1588770"/>
                    </a:xfrm>
                    <a:prstGeom prst="rect">
                      <a:avLst/>
                    </a:prstGeom>
                    <a:noFill/>
                    <a:ln w="9525">
                      <a:solidFill>
                        <a:srgbClr val="000000"/>
                      </a:solidFill>
                      <a:miter lim="800000"/>
                      <a:headEnd/>
                      <a:tailEnd/>
                    </a:ln>
                  </pic:spPr>
                </pic:pic>
              </a:graphicData>
            </a:graphic>
          </wp:anchor>
        </w:drawing>
      </w: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EE0360" w:rsidRDefault="00EE0360" w:rsidP="00EE0360">
      <w:pPr>
        <w:spacing w:before="120" w:after="0"/>
        <w:contextualSpacing/>
        <w:jc w:val="center"/>
        <w:rPr>
          <w:b/>
          <w:bCs/>
          <w:sz w:val="18"/>
          <w:szCs w:val="18"/>
        </w:rPr>
      </w:pPr>
    </w:p>
    <w:p w:rsidR="007037C0" w:rsidRDefault="007037C0" w:rsidP="00EE0360">
      <w:pPr>
        <w:spacing w:before="120" w:after="0"/>
        <w:contextualSpacing/>
        <w:jc w:val="center"/>
        <w:rPr>
          <w:b/>
          <w:bCs/>
          <w:sz w:val="18"/>
          <w:szCs w:val="18"/>
        </w:rPr>
      </w:pPr>
    </w:p>
    <w:p w:rsidR="00EE0360" w:rsidRPr="00090A3A" w:rsidRDefault="00EE0360" w:rsidP="00EE0360">
      <w:pPr>
        <w:spacing w:before="120" w:after="0"/>
        <w:contextualSpacing/>
        <w:jc w:val="center"/>
        <w:rPr>
          <w:b/>
          <w:bCs/>
          <w:sz w:val="18"/>
          <w:szCs w:val="18"/>
        </w:rPr>
      </w:pPr>
      <w:r w:rsidRPr="00090A3A">
        <w:rPr>
          <w:b/>
          <w:bCs/>
          <w:sz w:val="18"/>
          <w:szCs w:val="18"/>
        </w:rPr>
        <w:t xml:space="preserve">Figure 1. </w:t>
      </w:r>
      <w:r w:rsidRPr="00EE0360">
        <w:rPr>
          <w:b/>
          <w:bCs/>
          <w:sz w:val="18"/>
          <w:szCs w:val="18"/>
        </w:rPr>
        <w:t xml:space="preserve">Iso-resistivity map </w:t>
      </w:r>
      <w:r w:rsidR="007400C4">
        <w:rPr>
          <w:b/>
          <w:bCs/>
          <w:sz w:val="18"/>
          <w:szCs w:val="18"/>
        </w:rPr>
        <w:t>(</w:t>
      </w:r>
      <w:r w:rsidRPr="007037C0">
        <w:rPr>
          <w:color w:val="3333FF"/>
          <w:sz w:val="18"/>
          <w:szCs w:val="18"/>
          <w:lang w:eastAsia="fr-FR"/>
        </w:rPr>
        <w:t>Khanfir</w:t>
      </w:r>
      <w:r w:rsidR="007400C4" w:rsidRPr="007037C0">
        <w:rPr>
          <w:color w:val="3333FF"/>
          <w:sz w:val="18"/>
          <w:szCs w:val="18"/>
          <w:lang w:eastAsia="fr-FR"/>
        </w:rPr>
        <w:t xml:space="preserve">, </w:t>
      </w:r>
      <w:r w:rsidRPr="007037C0">
        <w:rPr>
          <w:color w:val="3333FF"/>
          <w:sz w:val="18"/>
          <w:szCs w:val="18"/>
          <w:lang w:eastAsia="fr-FR"/>
        </w:rPr>
        <w:t>1988</w:t>
      </w:r>
      <w:r w:rsidRPr="00EE0360">
        <w:rPr>
          <w:b/>
          <w:bCs/>
          <w:sz w:val="18"/>
          <w:szCs w:val="18"/>
          <w:lang w:eastAsia="fr-FR"/>
        </w:rPr>
        <w:t>)</w:t>
      </w:r>
    </w:p>
    <w:p w:rsidR="00EE0360" w:rsidRDefault="00EE0360" w:rsidP="001C67C2">
      <w:pPr>
        <w:contextualSpacing/>
      </w:pPr>
    </w:p>
    <w:p w:rsidR="00EE0360" w:rsidRDefault="005F460B" w:rsidP="001C67C2">
      <w:pPr>
        <w:contextualSpacing/>
      </w:pPr>
      <w:r>
        <w:rPr>
          <w:noProof/>
          <w:lang w:val="fr-FR" w:eastAsia="fr-FR"/>
        </w:rPr>
        <w:drawing>
          <wp:anchor distT="0" distB="0" distL="114300" distR="114300" simplePos="0" relativeHeight="251650560" behindDoc="0" locked="0" layoutInCell="1" allowOverlap="1">
            <wp:simplePos x="0" y="0"/>
            <wp:positionH relativeFrom="column">
              <wp:posOffset>596265</wp:posOffset>
            </wp:positionH>
            <wp:positionV relativeFrom="paragraph">
              <wp:posOffset>38100</wp:posOffset>
            </wp:positionV>
            <wp:extent cx="1886585" cy="1886585"/>
            <wp:effectExtent l="19050" t="19050" r="18415" b="18415"/>
            <wp:wrapNone/>
            <wp:docPr id="17" name="Image 2" descr="D:\Thèse 2015.2016\Chimicals Analysis\Diagram (meq) 07.08.2015\Piper 14.09.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Thèse 2015.2016\Chimicals Analysis\Diagram (meq) 07.08.2015\Piper 14.09.2015.jpg"/>
                    <pic:cNvPicPr>
                      <a:picLocks noChangeAspect="1" noChangeArrowheads="1"/>
                    </pic:cNvPicPr>
                  </pic:nvPicPr>
                  <pic:blipFill>
                    <a:blip r:embed="rId12" cstate="print"/>
                    <a:srcRect/>
                    <a:stretch>
                      <a:fillRect/>
                    </a:stretch>
                  </pic:blipFill>
                  <pic:spPr bwMode="auto">
                    <a:xfrm>
                      <a:off x="0" y="0"/>
                      <a:ext cx="1886585" cy="1886585"/>
                    </a:xfrm>
                    <a:prstGeom prst="rect">
                      <a:avLst/>
                    </a:prstGeom>
                    <a:noFill/>
                    <a:ln w="12700">
                      <a:solidFill>
                        <a:srgbClr val="000000"/>
                      </a:solidFill>
                      <a:miter lim="800000"/>
                      <a:headEnd/>
                      <a:tailEnd/>
                    </a:ln>
                  </pic:spPr>
                </pic:pic>
              </a:graphicData>
            </a:graphic>
          </wp:anchor>
        </w:drawing>
      </w:r>
    </w:p>
    <w:p w:rsidR="00EE0360" w:rsidRDefault="00EE0360" w:rsidP="001C67C2">
      <w:pPr>
        <w:contextualSpacing/>
      </w:pPr>
    </w:p>
    <w:p w:rsidR="00EE0360" w:rsidRPr="00676E40" w:rsidRDefault="00EE0360" w:rsidP="001C67C2">
      <w:pPr>
        <w:contextualSpacing/>
      </w:pPr>
    </w:p>
    <w:p w:rsidR="00AA64B3" w:rsidRDefault="00AA64B3" w:rsidP="001C67C2">
      <w:pPr>
        <w:contextualSpacing/>
      </w:pPr>
    </w:p>
    <w:p w:rsidR="00353ED9" w:rsidRPr="00090A3A" w:rsidRDefault="00353ED9" w:rsidP="001C67C2">
      <w:pPr>
        <w:contextualSpacing/>
      </w:pPr>
    </w:p>
    <w:p w:rsidR="00353ED9" w:rsidRPr="00090A3A" w:rsidRDefault="00353ED9" w:rsidP="001C67C2">
      <w:pPr>
        <w:contextualSpacing/>
      </w:pPr>
    </w:p>
    <w:p w:rsidR="00353ED9" w:rsidRPr="00090A3A" w:rsidRDefault="00353ED9" w:rsidP="001C67C2">
      <w:pPr>
        <w:contextualSpacing/>
      </w:pPr>
    </w:p>
    <w:p w:rsidR="00353ED9" w:rsidRPr="00090A3A" w:rsidRDefault="00353ED9" w:rsidP="001C67C2">
      <w:pPr>
        <w:contextualSpacing/>
      </w:pPr>
    </w:p>
    <w:p w:rsidR="00353ED9" w:rsidRPr="00090A3A" w:rsidRDefault="00F52EAB" w:rsidP="001C67C2">
      <w:pPr>
        <w:contextualSpacing/>
      </w:pPr>
      <w:r>
        <w:rPr>
          <w:noProof/>
          <w:lang w:val="fr-FR" w:eastAsia="fr-FR"/>
        </w:rPr>
        <w:pict>
          <v:shapetype id="_x0000_t202" coordsize="21600,21600" o:spt="202" path="m,l,21600r21600,l21600,xe">
            <v:stroke joinstyle="miter"/>
            <v:path gradientshapeok="t" o:connecttype="rect"/>
          </v:shapetype>
          <v:shape id="_x0000_s1060" type="#_x0000_t202" style="position:absolute;left:0;text-align:left;margin-left:135.8pt;margin-top:3.65pt;width:47.25pt;height:19.35pt;z-index:251664896" filled="f" stroked="f">
            <v:textbox>
              <w:txbxContent>
                <w:p w:rsidR="00F52EAB" w:rsidRPr="00F52EAB" w:rsidRDefault="005F460B">
                  <w:pPr>
                    <w:rPr>
                      <w:sz w:val="16"/>
                      <w:szCs w:val="16"/>
                      <w:lang w:val="fr-FR"/>
                    </w:rPr>
                  </w:pPr>
                  <w:r>
                    <w:rPr>
                      <w:noProof/>
                      <w:sz w:val="16"/>
                      <w:szCs w:val="16"/>
                      <w:lang w:val="fr-FR" w:eastAsia="fr-FR"/>
                    </w:rPr>
                    <w:drawing>
                      <wp:inline distT="0" distB="0" distL="0" distR="0">
                        <wp:extent cx="417195" cy="168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17195" cy="168275"/>
                                </a:xfrm>
                                <a:prstGeom prst="rect">
                                  <a:avLst/>
                                </a:prstGeom>
                                <a:noFill/>
                                <a:ln w="9525">
                                  <a:noFill/>
                                  <a:miter lim="800000"/>
                                  <a:headEnd/>
                                  <a:tailEnd/>
                                </a:ln>
                              </pic:spPr>
                            </pic:pic>
                          </a:graphicData>
                        </a:graphic>
                      </wp:inline>
                    </w:drawing>
                  </w:r>
                </w:p>
              </w:txbxContent>
            </v:textbox>
          </v:shape>
        </w:pict>
      </w:r>
      <w:r>
        <w:rPr>
          <w:noProof/>
          <w:lang w:val="fr-FR" w:eastAsia="fr-FR"/>
        </w:rPr>
        <w:pict>
          <v:shape id="_x0000_s1058" type="#_x0000_t202" style="position:absolute;left:0;text-align:left;margin-left:62.6pt;margin-top:3.1pt;width:37.95pt;height:24.7pt;z-index:251662848" filled="f" stroked="f">
            <v:textbox>
              <w:txbxContent>
                <w:p w:rsidR="00F52EAB" w:rsidRPr="00F52EAB" w:rsidRDefault="005F460B" w:rsidP="00F52EAB">
                  <w:pPr>
                    <w:jc w:val="center"/>
                    <w:rPr>
                      <w:sz w:val="16"/>
                      <w:szCs w:val="16"/>
                      <w:lang w:val="fr-FR"/>
                    </w:rPr>
                  </w:pPr>
                  <w:r>
                    <w:rPr>
                      <w:noProof/>
                      <w:sz w:val="16"/>
                      <w:szCs w:val="16"/>
                      <w:lang w:val="fr-FR" w:eastAsia="fr-FR"/>
                    </w:rPr>
                    <w:drawing>
                      <wp:inline distT="0" distB="0" distL="0" distR="0">
                        <wp:extent cx="431800" cy="2343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31800" cy="234315"/>
                                </a:xfrm>
                                <a:prstGeom prst="rect">
                                  <a:avLst/>
                                </a:prstGeom>
                                <a:noFill/>
                                <a:ln w="9525">
                                  <a:noFill/>
                                  <a:miter lim="800000"/>
                                  <a:headEnd/>
                                  <a:tailEnd/>
                                </a:ln>
                              </pic:spPr>
                            </pic:pic>
                          </a:graphicData>
                        </a:graphic>
                      </wp:inline>
                    </w:drawing>
                  </w:r>
                </w:p>
              </w:txbxContent>
            </v:textbox>
          </v:shape>
        </w:pict>
      </w:r>
    </w:p>
    <w:p w:rsidR="00353ED9" w:rsidRPr="00090A3A" w:rsidRDefault="00353ED9" w:rsidP="001C67C2">
      <w:pPr>
        <w:contextualSpacing/>
      </w:pPr>
    </w:p>
    <w:p w:rsidR="00353ED9" w:rsidRPr="00090A3A" w:rsidRDefault="00F52EAB" w:rsidP="001C67C2">
      <w:pPr>
        <w:contextualSpacing/>
      </w:pPr>
      <w:r>
        <w:rPr>
          <w:noProof/>
          <w:lang w:val="fr-FR"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158.7pt;margin-top:3.3pt;width:16.4pt;height:3.55pt;rotation:-2487803fd;flip:y;z-index:251663872" fillcolor="black"/>
        </w:pict>
      </w:r>
      <w:r>
        <w:rPr>
          <w:noProof/>
          <w:lang w:val="fr-FR" w:eastAsia="fr-FR"/>
        </w:rPr>
        <w:pict>
          <v:shape id="_x0000_s1056" type="#_x0000_t13" style="position:absolute;left:0;text-align:left;margin-left:90.5pt;margin-top:5.35pt;width:21.35pt;height:3.55pt;rotation:-2487803fd;flip:y;z-index:251661824" fillcolor="black"/>
        </w:pict>
      </w:r>
    </w:p>
    <w:p w:rsidR="00353ED9" w:rsidRPr="00090A3A" w:rsidRDefault="00353ED9" w:rsidP="001C67C2">
      <w:pPr>
        <w:contextualSpacing/>
      </w:pPr>
    </w:p>
    <w:p w:rsidR="00353ED9" w:rsidRPr="00090A3A" w:rsidRDefault="00353ED9" w:rsidP="001C67C2">
      <w:pPr>
        <w:spacing w:before="120" w:after="0"/>
        <w:contextualSpacing/>
        <w:jc w:val="center"/>
        <w:rPr>
          <w:b/>
          <w:bCs/>
          <w:sz w:val="18"/>
          <w:szCs w:val="18"/>
        </w:rPr>
      </w:pPr>
    </w:p>
    <w:p w:rsidR="00353ED9" w:rsidRPr="00090A3A" w:rsidRDefault="00353ED9" w:rsidP="001C67C2">
      <w:pPr>
        <w:spacing w:before="120" w:after="0"/>
        <w:contextualSpacing/>
        <w:jc w:val="center"/>
        <w:rPr>
          <w:b/>
          <w:bCs/>
          <w:sz w:val="18"/>
          <w:szCs w:val="18"/>
        </w:rPr>
      </w:pPr>
    </w:p>
    <w:p w:rsidR="00353ED9" w:rsidRPr="00090A3A" w:rsidRDefault="00EE0360" w:rsidP="00EE0360">
      <w:pPr>
        <w:spacing w:before="120" w:after="0"/>
        <w:contextualSpacing/>
        <w:jc w:val="center"/>
        <w:rPr>
          <w:b/>
          <w:bCs/>
          <w:sz w:val="18"/>
          <w:szCs w:val="18"/>
        </w:rPr>
      </w:pPr>
      <w:r>
        <w:rPr>
          <w:b/>
          <w:bCs/>
          <w:sz w:val="18"/>
          <w:szCs w:val="18"/>
        </w:rPr>
        <w:t>Figure 2</w:t>
      </w:r>
      <w:r w:rsidR="00353ED9" w:rsidRPr="00090A3A">
        <w:rPr>
          <w:b/>
          <w:bCs/>
          <w:sz w:val="18"/>
          <w:szCs w:val="18"/>
        </w:rPr>
        <w:t>. Piper diagram of water samples in the plain of Sminja</w:t>
      </w:r>
    </w:p>
    <w:p w:rsidR="00353ED9" w:rsidRPr="00090A3A" w:rsidRDefault="00353ED9" w:rsidP="001C67C2">
      <w:pPr>
        <w:spacing w:line="360" w:lineRule="auto"/>
        <w:contextualSpacing/>
        <w:rPr>
          <w:rFonts w:ascii="Arial" w:hAnsi="Arial" w:cs="Arial"/>
          <w:b/>
          <w:bCs/>
          <w:sz w:val="18"/>
          <w:szCs w:val="18"/>
        </w:rPr>
      </w:pPr>
      <w:r w:rsidRPr="00090A3A">
        <w:rPr>
          <w:rFonts w:ascii="Arial" w:hAnsi="Arial" w:cs="Arial"/>
          <w:b/>
          <w:bCs/>
          <w:sz w:val="18"/>
          <w:szCs w:val="18"/>
        </w:rPr>
        <w:t>Origin of groundwater mineralization in the plain of Sminja</w:t>
      </w:r>
    </w:p>
    <w:p w:rsidR="00353ED9" w:rsidRPr="00090A3A" w:rsidRDefault="00353ED9" w:rsidP="001C67C2">
      <w:pPr>
        <w:contextualSpacing/>
      </w:pPr>
      <w:r w:rsidRPr="00090A3A">
        <w:t>In order to specify the likely origins of the referred ions and the processes that control their concentrations in the waters of the plain of Sminja, saturation index (SI), which provides information about the minerals that are in contact with groundwater (</w:t>
      </w:r>
      <w:r w:rsidRPr="00504DBE">
        <w:rPr>
          <w:color w:val="0000FF"/>
        </w:rPr>
        <w:t>Post, 2002</w:t>
      </w:r>
      <w:r w:rsidRPr="00090A3A">
        <w:t xml:space="preserve">), was calculated and several bivariate diagrams were completed. </w:t>
      </w:r>
    </w:p>
    <w:p w:rsidR="00353ED9" w:rsidRPr="00090A3A" w:rsidRDefault="00353ED9" w:rsidP="001C67C2">
      <w:pPr>
        <w:contextualSpacing/>
      </w:pPr>
      <w:r w:rsidRPr="00090A3A">
        <w:t xml:space="preserve">All of water samples have positive values of the calculated SI with respect to calcite, </w:t>
      </w:r>
      <w:r w:rsidR="001C67C2">
        <w:t>a</w:t>
      </w:r>
      <w:r w:rsidR="001C67C2" w:rsidRPr="00090A3A">
        <w:t xml:space="preserve">ragonite </w:t>
      </w:r>
      <w:r w:rsidRPr="00090A3A">
        <w:t>and dolomite, with exception of two samples (n°9 and n°1119), indicating a saturation state with respect to those mineral phases (</w:t>
      </w:r>
      <w:r w:rsidRPr="00504DBE">
        <w:rPr>
          <w:color w:val="0000FF"/>
        </w:rPr>
        <w:t>Parkhurst et al. 1992</w:t>
      </w:r>
      <w:r w:rsidRPr="00090A3A">
        <w:t>), which has a geological origin mainly derived from t</w:t>
      </w:r>
      <w:r w:rsidR="004A660B" w:rsidRPr="00090A3A">
        <w:t>he abundant limestone outcrops</w:t>
      </w:r>
      <w:r w:rsidRPr="00090A3A">
        <w:t>. Thus, calcite is the origin of Ca</w:t>
      </w:r>
      <w:r w:rsidRPr="00090A3A">
        <w:rPr>
          <w:vertAlign w:val="superscript"/>
        </w:rPr>
        <w:t>2+</w:t>
      </w:r>
      <w:r w:rsidRPr="00090A3A">
        <w:t xml:space="preserve"> and HCO</w:t>
      </w:r>
      <w:r w:rsidRPr="00090A3A">
        <w:rPr>
          <w:vertAlign w:val="subscript"/>
        </w:rPr>
        <w:t>3</w:t>
      </w:r>
      <w:r w:rsidRPr="00090A3A">
        <w:rPr>
          <w:vertAlign w:val="superscript"/>
        </w:rPr>
        <w:t>-</w:t>
      </w:r>
      <w:r w:rsidRPr="00090A3A">
        <w:t xml:space="preserve"> in these samples and its dissolution was described by </w:t>
      </w:r>
      <w:r w:rsidRPr="00504DBE">
        <w:rPr>
          <w:color w:val="0000FF"/>
        </w:rPr>
        <w:t>Appelo and Postma 2005</w:t>
      </w:r>
      <w:r w:rsidRPr="00090A3A">
        <w:t xml:space="preserve"> (Eq.1):</w:t>
      </w:r>
    </w:p>
    <w:p w:rsidR="00353ED9" w:rsidRPr="00090A3A" w:rsidRDefault="00353ED9" w:rsidP="001C67C2">
      <w:pPr>
        <w:contextualSpacing/>
        <w:jc w:val="right"/>
      </w:pPr>
      <w:r w:rsidRPr="00090A3A">
        <w:t>CaCO</w:t>
      </w:r>
      <w:r w:rsidRPr="00090A3A">
        <w:rPr>
          <w:vertAlign w:val="subscript"/>
        </w:rPr>
        <w:t>3</w:t>
      </w:r>
      <w:r w:rsidRPr="00090A3A">
        <w:t xml:space="preserve"> + CO</w:t>
      </w:r>
      <w:r w:rsidRPr="00090A3A">
        <w:rPr>
          <w:vertAlign w:val="subscript"/>
        </w:rPr>
        <w:t>2</w:t>
      </w:r>
      <w:r w:rsidRPr="00090A3A">
        <w:t xml:space="preserve"> + H</w:t>
      </w:r>
      <w:r w:rsidRPr="00090A3A">
        <w:rPr>
          <w:vertAlign w:val="subscript"/>
        </w:rPr>
        <w:t>2</w:t>
      </w:r>
      <w:r w:rsidRPr="00090A3A">
        <w:t>O ↔ Ca</w:t>
      </w:r>
      <w:r w:rsidRPr="00090A3A">
        <w:rPr>
          <w:vertAlign w:val="superscript"/>
        </w:rPr>
        <w:t>2+</w:t>
      </w:r>
      <w:r w:rsidRPr="00090A3A">
        <w:t xml:space="preserve"> + 2HCO</w:t>
      </w:r>
      <w:r w:rsidRPr="00090A3A">
        <w:rPr>
          <w:vertAlign w:val="subscript"/>
        </w:rPr>
        <w:t>3</w:t>
      </w:r>
      <w:r w:rsidRPr="00090A3A">
        <w:rPr>
          <w:vertAlign w:val="superscript"/>
        </w:rPr>
        <w:t xml:space="preserve">-              </w:t>
      </w:r>
      <w:r w:rsidRPr="00090A3A">
        <w:t>(Eq.1)</w:t>
      </w:r>
      <w:r w:rsidRPr="00090A3A">
        <w:rPr>
          <w:vertAlign w:val="superscript"/>
        </w:rPr>
        <w:t xml:space="preserve">   </w:t>
      </w:r>
    </w:p>
    <w:p w:rsidR="00353ED9" w:rsidRDefault="00353ED9" w:rsidP="001C67C2">
      <w:pPr>
        <w:contextualSpacing/>
      </w:pPr>
      <w:r w:rsidRPr="00090A3A">
        <w:t>The plot of SI</w:t>
      </w:r>
      <w:r w:rsidRPr="00090A3A">
        <w:rPr>
          <w:vertAlign w:val="subscript"/>
        </w:rPr>
        <w:t>Gypsum</w:t>
      </w:r>
      <w:r w:rsidRPr="00090A3A">
        <w:t xml:space="preserve"> and SI</w:t>
      </w:r>
      <w:r w:rsidRPr="00090A3A">
        <w:rPr>
          <w:vertAlign w:val="subscript"/>
        </w:rPr>
        <w:t>Anhydrite</w:t>
      </w:r>
      <w:r w:rsidRPr="00DA3997">
        <w:t xml:space="preserve"> vs (Ca</w:t>
      </w:r>
      <w:r w:rsidR="00504DBE" w:rsidRPr="00504DBE">
        <w:rPr>
          <w:vertAlign w:val="superscript"/>
        </w:rPr>
        <w:t>2+</w:t>
      </w:r>
      <w:r w:rsidRPr="00DA3997">
        <w:t>+SO</w:t>
      </w:r>
      <w:r w:rsidRPr="00504DBE">
        <w:rPr>
          <w:vertAlign w:val="subscript"/>
        </w:rPr>
        <w:t>4</w:t>
      </w:r>
      <w:r w:rsidR="00975599" w:rsidRPr="00975599">
        <w:rPr>
          <w:vertAlign w:val="superscript"/>
        </w:rPr>
        <w:t>2-</w:t>
      </w:r>
      <w:r w:rsidRPr="00DA3997">
        <w:t xml:space="preserve">) displays a parabolic proportional shape evolution with negative values of the saturation indexes, indicating that calcium and </w:t>
      </w:r>
      <w:r w:rsidR="001C67C2" w:rsidRPr="00DA3997">
        <w:t>sul</w:t>
      </w:r>
      <w:r w:rsidR="001C67C2">
        <w:t>f</w:t>
      </w:r>
      <w:r w:rsidR="001C67C2" w:rsidRPr="00DA3997">
        <w:t xml:space="preserve">ate </w:t>
      </w:r>
      <w:r w:rsidRPr="00DA3997">
        <w:t xml:space="preserve">are derived from the same origin, which is the dissolution of gypsum and anhydrite, frequently found in the Quaternary </w:t>
      </w:r>
      <w:r w:rsidRPr="00B65CB0">
        <w:t>formations (Fig.</w:t>
      </w:r>
      <w:r w:rsidR="00EE0360">
        <w:t>3</w:t>
      </w:r>
      <w:r w:rsidRPr="00B65CB0">
        <w:t>).</w:t>
      </w:r>
      <w:r w:rsidRPr="00DA3997">
        <w:t xml:space="preserve"> </w:t>
      </w:r>
    </w:p>
    <w:p w:rsidR="001D5D6F" w:rsidRDefault="005F460B" w:rsidP="001C67C2">
      <w:pPr>
        <w:contextualSpacing/>
      </w:pPr>
      <w:r>
        <w:rPr>
          <w:noProof/>
          <w:lang w:val="fr-FR" w:eastAsia="fr-FR"/>
        </w:rPr>
        <w:drawing>
          <wp:anchor distT="0" distB="0" distL="114300" distR="114300" simplePos="0" relativeHeight="251657728" behindDoc="0" locked="0" layoutInCell="1" allowOverlap="1">
            <wp:simplePos x="0" y="0"/>
            <wp:positionH relativeFrom="column">
              <wp:posOffset>1523365</wp:posOffset>
            </wp:positionH>
            <wp:positionV relativeFrom="paragraph">
              <wp:posOffset>39370</wp:posOffset>
            </wp:positionV>
            <wp:extent cx="1746250" cy="1708150"/>
            <wp:effectExtent l="19050" t="0" r="6350" b="0"/>
            <wp:wrapNone/>
            <wp:docPr id="26" name="Image 1" descr="D:\Thèse 2015.2016\Chimicals Analysis\Grapher_2015\JPG\SI anhyd vs Ca+SO4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Thèse 2015.2016\Chimicals Analysis\Grapher_2015\JPG\SI anhyd vs Ca+SO4 (A).jpg"/>
                    <pic:cNvPicPr>
                      <a:picLocks noChangeAspect="1" noChangeArrowheads="1"/>
                    </pic:cNvPicPr>
                  </pic:nvPicPr>
                  <pic:blipFill>
                    <a:blip r:embed="rId15" cstate="print"/>
                    <a:srcRect/>
                    <a:stretch>
                      <a:fillRect/>
                    </a:stretch>
                  </pic:blipFill>
                  <pic:spPr bwMode="auto">
                    <a:xfrm>
                      <a:off x="0" y="0"/>
                      <a:ext cx="1746250" cy="1708150"/>
                    </a:xfrm>
                    <a:prstGeom prst="rect">
                      <a:avLst/>
                    </a:prstGeom>
                    <a:noFill/>
                    <a:ln w="9525">
                      <a:noFill/>
                      <a:miter lim="800000"/>
                      <a:headEnd/>
                      <a:tailEnd/>
                    </a:ln>
                  </pic:spPr>
                </pic:pic>
              </a:graphicData>
            </a:graphic>
          </wp:anchor>
        </w:drawing>
      </w:r>
    </w:p>
    <w:p w:rsidR="001A213F" w:rsidRPr="00DA3997" w:rsidRDefault="001A213F" w:rsidP="001C67C2">
      <w:pPr>
        <w:contextualSpacing/>
      </w:pPr>
    </w:p>
    <w:p w:rsidR="00353ED9" w:rsidRDefault="00353ED9" w:rsidP="001C67C2">
      <w:pPr>
        <w:contextualSpacing/>
        <w:jc w:val="left"/>
        <w:rPr>
          <w:b/>
          <w:bCs/>
          <w:sz w:val="18"/>
          <w:szCs w:val="18"/>
        </w:rPr>
      </w:pPr>
    </w:p>
    <w:p w:rsidR="001A213F" w:rsidRDefault="001A213F" w:rsidP="001C67C2">
      <w:pPr>
        <w:contextualSpacing/>
        <w:jc w:val="left"/>
        <w:rPr>
          <w:b/>
          <w:bCs/>
          <w:sz w:val="18"/>
          <w:szCs w:val="18"/>
        </w:rPr>
      </w:pPr>
    </w:p>
    <w:p w:rsidR="001A213F" w:rsidRDefault="001A213F" w:rsidP="001C67C2">
      <w:pPr>
        <w:contextualSpacing/>
        <w:jc w:val="left"/>
        <w:rPr>
          <w:b/>
          <w:bCs/>
          <w:sz w:val="18"/>
          <w:szCs w:val="18"/>
        </w:rPr>
      </w:pPr>
    </w:p>
    <w:p w:rsidR="001A213F" w:rsidRDefault="001A213F" w:rsidP="001C67C2">
      <w:pPr>
        <w:contextualSpacing/>
        <w:jc w:val="left"/>
        <w:rPr>
          <w:b/>
          <w:bCs/>
          <w:sz w:val="18"/>
          <w:szCs w:val="18"/>
        </w:rPr>
      </w:pPr>
    </w:p>
    <w:p w:rsidR="001A213F" w:rsidRDefault="001A213F" w:rsidP="001C67C2">
      <w:pPr>
        <w:contextualSpacing/>
        <w:jc w:val="left"/>
        <w:rPr>
          <w:b/>
          <w:bCs/>
          <w:sz w:val="18"/>
          <w:szCs w:val="18"/>
        </w:rPr>
      </w:pPr>
    </w:p>
    <w:p w:rsidR="001A213F" w:rsidRDefault="001A213F" w:rsidP="001C67C2">
      <w:pPr>
        <w:contextualSpacing/>
        <w:jc w:val="left"/>
        <w:rPr>
          <w:b/>
          <w:bCs/>
          <w:sz w:val="18"/>
          <w:szCs w:val="18"/>
        </w:rPr>
      </w:pPr>
    </w:p>
    <w:p w:rsidR="001A213F" w:rsidRDefault="001A213F" w:rsidP="001C67C2">
      <w:pPr>
        <w:contextualSpacing/>
        <w:jc w:val="left"/>
        <w:rPr>
          <w:b/>
          <w:bCs/>
          <w:sz w:val="18"/>
          <w:szCs w:val="18"/>
        </w:rPr>
      </w:pPr>
    </w:p>
    <w:p w:rsidR="001C67C2" w:rsidRDefault="001C67C2" w:rsidP="001C67C2">
      <w:pPr>
        <w:spacing w:line="360" w:lineRule="auto"/>
        <w:contextualSpacing/>
        <w:jc w:val="center"/>
        <w:rPr>
          <w:b/>
          <w:bCs/>
          <w:sz w:val="18"/>
          <w:szCs w:val="18"/>
        </w:rPr>
      </w:pPr>
    </w:p>
    <w:p w:rsidR="001C67C2" w:rsidRDefault="001C67C2" w:rsidP="001C67C2">
      <w:pPr>
        <w:spacing w:line="360" w:lineRule="auto"/>
        <w:contextualSpacing/>
        <w:jc w:val="center"/>
        <w:rPr>
          <w:b/>
          <w:bCs/>
          <w:sz w:val="18"/>
          <w:szCs w:val="18"/>
        </w:rPr>
      </w:pPr>
    </w:p>
    <w:p w:rsidR="001C67C2" w:rsidRDefault="001C67C2" w:rsidP="001C67C2">
      <w:pPr>
        <w:spacing w:line="360" w:lineRule="auto"/>
        <w:contextualSpacing/>
        <w:jc w:val="center"/>
        <w:rPr>
          <w:b/>
          <w:bCs/>
          <w:sz w:val="18"/>
          <w:szCs w:val="18"/>
        </w:rPr>
      </w:pPr>
    </w:p>
    <w:p w:rsidR="001A213F" w:rsidRPr="001A213F" w:rsidRDefault="001A213F" w:rsidP="00F64A6C">
      <w:pPr>
        <w:spacing w:line="360" w:lineRule="auto"/>
        <w:contextualSpacing/>
        <w:jc w:val="center"/>
        <w:rPr>
          <w:b/>
          <w:bCs/>
          <w:sz w:val="18"/>
          <w:szCs w:val="18"/>
        </w:rPr>
      </w:pPr>
      <w:r w:rsidRPr="001A213F">
        <w:rPr>
          <w:b/>
          <w:bCs/>
          <w:sz w:val="18"/>
          <w:szCs w:val="18"/>
        </w:rPr>
        <w:t xml:space="preserve">Figure </w:t>
      </w:r>
      <w:r w:rsidR="006C6EC6">
        <w:rPr>
          <w:b/>
          <w:bCs/>
          <w:sz w:val="18"/>
          <w:szCs w:val="18"/>
        </w:rPr>
        <w:t>3</w:t>
      </w:r>
      <w:r w:rsidRPr="001A213F">
        <w:rPr>
          <w:b/>
          <w:bCs/>
          <w:sz w:val="18"/>
          <w:szCs w:val="18"/>
        </w:rPr>
        <w:t>. Plots of (Ca</w:t>
      </w:r>
      <w:r w:rsidR="00AB0D62" w:rsidRPr="00AB0D62">
        <w:rPr>
          <w:b/>
          <w:bCs/>
          <w:sz w:val="18"/>
          <w:szCs w:val="18"/>
          <w:vertAlign w:val="superscript"/>
        </w:rPr>
        <w:t>2+</w:t>
      </w:r>
      <w:r w:rsidRPr="001A213F">
        <w:rPr>
          <w:b/>
          <w:bCs/>
          <w:sz w:val="18"/>
          <w:szCs w:val="18"/>
        </w:rPr>
        <w:t>+SO</w:t>
      </w:r>
      <w:r w:rsidRPr="00AB0D62">
        <w:rPr>
          <w:b/>
          <w:bCs/>
          <w:sz w:val="18"/>
          <w:szCs w:val="18"/>
          <w:vertAlign w:val="subscript"/>
        </w:rPr>
        <w:t>4</w:t>
      </w:r>
      <w:r w:rsidR="00AB0D62" w:rsidRPr="00AB0D62">
        <w:rPr>
          <w:b/>
          <w:bCs/>
          <w:sz w:val="18"/>
          <w:szCs w:val="18"/>
          <w:vertAlign w:val="superscript"/>
        </w:rPr>
        <w:t>2-</w:t>
      </w:r>
      <w:r w:rsidRPr="001A213F">
        <w:rPr>
          <w:b/>
          <w:bCs/>
          <w:sz w:val="18"/>
          <w:szCs w:val="18"/>
        </w:rPr>
        <w:t>) vs (a) SI</w:t>
      </w:r>
      <w:r w:rsidRPr="001A213F">
        <w:rPr>
          <w:b/>
          <w:bCs/>
          <w:sz w:val="18"/>
          <w:szCs w:val="18"/>
          <w:vertAlign w:val="subscript"/>
        </w:rPr>
        <w:t>Gypsum</w:t>
      </w:r>
      <w:r w:rsidRPr="001A213F">
        <w:rPr>
          <w:b/>
          <w:bCs/>
          <w:sz w:val="18"/>
          <w:szCs w:val="18"/>
        </w:rPr>
        <w:t xml:space="preserve"> and (b) SI</w:t>
      </w:r>
      <w:r w:rsidRPr="001A213F">
        <w:rPr>
          <w:b/>
          <w:bCs/>
          <w:sz w:val="18"/>
          <w:szCs w:val="18"/>
          <w:vertAlign w:val="subscript"/>
        </w:rPr>
        <w:t>Anhydrite</w:t>
      </w:r>
    </w:p>
    <w:p w:rsidR="001C67C2" w:rsidRDefault="00AA0C35" w:rsidP="001C67C2">
      <w:pPr>
        <w:contextualSpacing/>
      </w:pPr>
      <w:r w:rsidRPr="00AA0C35">
        <w:t xml:space="preserve">The bivariate diagram of sodium vs chloride is used to make distinction between different mechanisms for </w:t>
      </w:r>
    </w:p>
    <w:p w:rsidR="00AA0C35" w:rsidRPr="00AB0D62" w:rsidRDefault="00AA0C35" w:rsidP="001C67C2">
      <w:pPr>
        <w:contextualSpacing/>
      </w:pPr>
      <w:r w:rsidRPr="00AA0C35">
        <w:t>acquiring salinity in arid and semi arid regions (</w:t>
      </w:r>
      <w:r w:rsidRPr="00AA0C35">
        <w:rPr>
          <w:color w:val="0000FF"/>
        </w:rPr>
        <w:t>Dixion and Chiswell 1992</w:t>
      </w:r>
      <w:r w:rsidRPr="00AA0C35">
        <w:t>).</w:t>
      </w:r>
      <w:r w:rsidR="00AB0D62">
        <w:t xml:space="preserve"> </w:t>
      </w:r>
      <w:r w:rsidRPr="00AA0C35">
        <w:t>The relationship between these ions reveals two main groups (</w:t>
      </w:r>
      <w:r w:rsidR="006C6EC6">
        <w:t>Fig.4</w:t>
      </w:r>
      <w:r w:rsidRPr="00AB0D62">
        <w:t>(a)):</w:t>
      </w:r>
      <w:r w:rsidRPr="00AA0C35">
        <w:t xml:space="preserve"> the samples of the first group (especially Ca-Mg-Cl-HCO3 type), show a perfect correlation, they cluster along the halite dissolution line, suggesting that sodium and chloride </w:t>
      </w:r>
      <w:r w:rsidR="001C67C2">
        <w:t>are</w:t>
      </w:r>
      <w:r w:rsidR="001C67C2" w:rsidRPr="00AA0C35">
        <w:t xml:space="preserve"> </w:t>
      </w:r>
      <w:r w:rsidRPr="00AA0C35">
        <w:t xml:space="preserve">derived from the same origin which is the dissolution of halite. </w:t>
      </w:r>
      <w:r w:rsidR="001C67C2">
        <w:t>In the</w:t>
      </w:r>
      <w:r w:rsidR="001C67C2" w:rsidRPr="00AA0C35">
        <w:t xml:space="preserve"> </w:t>
      </w:r>
      <w:r w:rsidRPr="00AA0C35">
        <w:t>second group, which includes high-salinity samples (Na-Cl type), they do not follow the halite dissolution line, and present depletion in Cl</w:t>
      </w:r>
      <w:r w:rsidRPr="00AA0C35">
        <w:rPr>
          <w:vertAlign w:val="superscript"/>
        </w:rPr>
        <w:t>-</w:t>
      </w:r>
      <w:r w:rsidRPr="00AA0C35">
        <w:t xml:space="preserve"> concentration compared with Na</w:t>
      </w:r>
      <w:r w:rsidRPr="00AA0C35">
        <w:rPr>
          <w:vertAlign w:val="superscript"/>
        </w:rPr>
        <w:t>+</w:t>
      </w:r>
      <w:r w:rsidRPr="00AA0C35">
        <w:t>. Over than geological effects, exists definitely another phenomenon controlling their salini</w:t>
      </w:r>
      <w:r w:rsidR="001C67C2">
        <w:t>z</w:t>
      </w:r>
      <w:r w:rsidRPr="00AA0C35">
        <w:t>ation and this may be the cation exchange reaction which lead to Na</w:t>
      </w:r>
      <w:r w:rsidRPr="00AA0C35">
        <w:rPr>
          <w:vertAlign w:val="superscript"/>
        </w:rPr>
        <w:t>+</w:t>
      </w:r>
      <w:r w:rsidRPr="00AA0C35">
        <w:t xml:space="preserve"> a</w:t>
      </w:r>
      <w:r w:rsidR="001C67C2">
        <w:t>d</w:t>
      </w:r>
      <w:r w:rsidRPr="00AA0C35">
        <w:t>sorption on clay minerals and simultaneous release of Ca</w:t>
      </w:r>
      <w:r w:rsidRPr="00AA0C35">
        <w:rPr>
          <w:vertAlign w:val="superscript"/>
        </w:rPr>
        <w:t>2+</w:t>
      </w:r>
      <w:r w:rsidRPr="00AA0C35">
        <w:t xml:space="preserve"> ions.</w:t>
      </w:r>
    </w:p>
    <w:p w:rsidR="00AA0C35" w:rsidRDefault="00AA0C35" w:rsidP="00120AA4">
      <w:pPr>
        <w:contextualSpacing/>
        <w:rPr>
          <w:sz w:val="24"/>
          <w:szCs w:val="24"/>
        </w:rPr>
      </w:pPr>
      <w:r w:rsidRPr="00AA0C35">
        <w:t>A plot of Ca</w:t>
      </w:r>
      <w:r w:rsidRPr="00AA0C35">
        <w:rPr>
          <w:vertAlign w:val="superscript"/>
        </w:rPr>
        <w:t>2+</w:t>
      </w:r>
      <w:r w:rsidRPr="00AA0C35">
        <w:t xml:space="preserve"> vs SO</w:t>
      </w:r>
      <w:r w:rsidRPr="00AA0C35">
        <w:rPr>
          <w:vertAlign w:val="subscript"/>
        </w:rPr>
        <w:t>4</w:t>
      </w:r>
      <w:r w:rsidRPr="00AA0C35">
        <w:rPr>
          <w:vertAlign w:val="superscript"/>
        </w:rPr>
        <w:t>2-</w:t>
      </w:r>
      <w:r w:rsidRPr="00AA0C35">
        <w:t xml:space="preserve"> show</w:t>
      </w:r>
      <w:r w:rsidR="00120AA4">
        <w:t>s</w:t>
      </w:r>
      <w:r w:rsidRPr="00AA0C35">
        <w:t xml:space="preserve"> that sample</w:t>
      </w:r>
      <w:r w:rsidR="00120AA4">
        <w:t>s</w:t>
      </w:r>
      <w:r w:rsidRPr="00AA0C35">
        <w:t xml:space="preserve"> of </w:t>
      </w:r>
      <w:r w:rsidR="00120AA4" w:rsidRPr="00AA0C35">
        <w:t xml:space="preserve">the </w:t>
      </w:r>
      <w:r w:rsidRPr="00AA0C35">
        <w:t>second group also exhibit a deficit of Ca</w:t>
      </w:r>
      <w:r w:rsidRPr="00AA0C35">
        <w:rPr>
          <w:vertAlign w:val="superscript"/>
        </w:rPr>
        <w:t>2+</w:t>
      </w:r>
      <w:r w:rsidRPr="00AA0C35">
        <w:t xml:space="preserve"> versus SO</w:t>
      </w:r>
      <w:r w:rsidRPr="00AA0C35">
        <w:rPr>
          <w:vertAlign w:val="subscript"/>
        </w:rPr>
        <w:t>4</w:t>
      </w:r>
      <w:r w:rsidRPr="00AA0C35">
        <w:rPr>
          <w:vertAlign w:val="superscript"/>
        </w:rPr>
        <w:t>2-</w:t>
      </w:r>
      <w:r w:rsidRPr="00AA0C35">
        <w:t xml:space="preserve"> which is compensated by an excess of Na</w:t>
      </w:r>
      <w:r w:rsidRPr="00AA0C35">
        <w:rPr>
          <w:vertAlign w:val="superscript"/>
        </w:rPr>
        <w:t>+</w:t>
      </w:r>
      <w:r w:rsidRPr="00AA0C35">
        <w:t xml:space="preserve"> with respect to Cl</w:t>
      </w:r>
      <w:r w:rsidRPr="00AA0C35">
        <w:rPr>
          <w:vertAlign w:val="superscript"/>
        </w:rPr>
        <w:t xml:space="preserve">- </w:t>
      </w:r>
      <w:r w:rsidRPr="00AA0C35">
        <w:t>(</w:t>
      </w:r>
      <w:r w:rsidR="006C6EC6">
        <w:t>Fig.4</w:t>
      </w:r>
      <w:r w:rsidRPr="00AB0D62">
        <w:t>(b)),</w:t>
      </w:r>
      <w:r w:rsidRPr="00AA0C35">
        <w:t xml:space="preserve"> which confirms </w:t>
      </w:r>
      <w:r w:rsidR="00120AA4">
        <w:t>the</w:t>
      </w:r>
      <w:r w:rsidR="00120AA4" w:rsidRPr="00AA0C35">
        <w:t xml:space="preserve"> </w:t>
      </w:r>
      <w:r w:rsidRPr="00AA0C35">
        <w:t>Ca-Na cation exchange process</w:t>
      </w:r>
      <w:r>
        <w:rPr>
          <w:sz w:val="24"/>
          <w:szCs w:val="24"/>
        </w:rPr>
        <w:t>.</w:t>
      </w:r>
    </w:p>
    <w:p w:rsidR="00AA0C35" w:rsidRDefault="005F460B" w:rsidP="001C67C2">
      <w:pPr>
        <w:contextualSpacing/>
        <w:rPr>
          <w:sz w:val="24"/>
          <w:szCs w:val="24"/>
        </w:rPr>
      </w:pPr>
      <w:r>
        <w:rPr>
          <w:b/>
          <w:bCs/>
          <w:noProof/>
          <w:sz w:val="18"/>
          <w:szCs w:val="18"/>
          <w:lang w:val="fr-FR" w:eastAsia="fr-FR"/>
        </w:rPr>
        <w:drawing>
          <wp:anchor distT="0" distB="0" distL="114300" distR="114300" simplePos="0" relativeHeight="251651584" behindDoc="0" locked="0" layoutInCell="1" allowOverlap="1">
            <wp:simplePos x="0" y="0"/>
            <wp:positionH relativeFrom="column">
              <wp:posOffset>1431925</wp:posOffset>
            </wp:positionH>
            <wp:positionV relativeFrom="paragraph">
              <wp:posOffset>116840</wp:posOffset>
            </wp:positionV>
            <wp:extent cx="1572895" cy="1529715"/>
            <wp:effectExtent l="19050" t="0" r="8255" b="0"/>
            <wp:wrapNone/>
            <wp:docPr id="20" name="Image 2" descr="D:\Thèse 2015.2016\Chimicals Analysis\Grapher_2015\Ca VS S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Thèse 2015.2016\Chimicals Analysis\Grapher_2015\Ca VS SO4.jpg"/>
                    <pic:cNvPicPr>
                      <a:picLocks noChangeAspect="1" noChangeArrowheads="1"/>
                    </pic:cNvPicPr>
                  </pic:nvPicPr>
                  <pic:blipFill>
                    <a:blip r:embed="rId16" cstate="print"/>
                    <a:srcRect/>
                    <a:stretch>
                      <a:fillRect/>
                    </a:stretch>
                  </pic:blipFill>
                  <pic:spPr bwMode="auto">
                    <a:xfrm>
                      <a:off x="0" y="0"/>
                      <a:ext cx="1572895" cy="1529715"/>
                    </a:xfrm>
                    <a:prstGeom prst="rect">
                      <a:avLst/>
                    </a:prstGeom>
                    <a:noFill/>
                    <a:ln w="9525">
                      <a:noFill/>
                      <a:miter lim="800000"/>
                      <a:headEnd/>
                      <a:tailEnd/>
                    </a:ln>
                  </pic:spPr>
                </pic:pic>
              </a:graphicData>
            </a:graphic>
          </wp:anchor>
        </w:drawing>
      </w:r>
      <w:r>
        <w:rPr>
          <w:b/>
          <w:bCs/>
          <w:noProof/>
          <w:sz w:val="18"/>
          <w:szCs w:val="18"/>
          <w:lang w:val="fr-FR" w:eastAsia="fr-FR"/>
        </w:rPr>
        <w:drawing>
          <wp:anchor distT="0" distB="0" distL="114300" distR="114300" simplePos="0" relativeHeight="251652608" behindDoc="0" locked="0" layoutInCell="1" allowOverlap="1">
            <wp:simplePos x="0" y="0"/>
            <wp:positionH relativeFrom="column">
              <wp:posOffset>-164465</wp:posOffset>
            </wp:positionH>
            <wp:positionV relativeFrom="paragraph">
              <wp:posOffset>87630</wp:posOffset>
            </wp:positionV>
            <wp:extent cx="1631950" cy="1542415"/>
            <wp:effectExtent l="19050" t="0" r="6350" b="0"/>
            <wp:wrapNone/>
            <wp:docPr id="21" name="Image 1" descr="D:\Thèse 2015.2016\Chimicals Analysis\Grapher_2015\Na vs 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Thèse 2015.2016\Chimicals Analysis\Grapher_2015\Na vs Cl.jpg"/>
                    <pic:cNvPicPr>
                      <a:picLocks noChangeAspect="1" noChangeArrowheads="1"/>
                    </pic:cNvPicPr>
                  </pic:nvPicPr>
                  <pic:blipFill>
                    <a:blip r:embed="rId17" cstate="print"/>
                    <a:srcRect/>
                    <a:stretch>
                      <a:fillRect/>
                    </a:stretch>
                  </pic:blipFill>
                  <pic:spPr bwMode="auto">
                    <a:xfrm>
                      <a:off x="0" y="0"/>
                      <a:ext cx="1631950" cy="1542415"/>
                    </a:xfrm>
                    <a:prstGeom prst="rect">
                      <a:avLst/>
                    </a:prstGeom>
                    <a:noFill/>
                    <a:ln w="9525">
                      <a:noFill/>
                      <a:miter lim="800000"/>
                      <a:headEnd/>
                      <a:tailEnd/>
                    </a:ln>
                  </pic:spPr>
                </pic:pic>
              </a:graphicData>
            </a:graphic>
          </wp:anchor>
        </w:drawing>
      </w:r>
    </w:p>
    <w:p w:rsidR="00AA0C35" w:rsidRDefault="00AA0C35" w:rsidP="001C67C2">
      <w:pPr>
        <w:contextualSpacing/>
        <w:rPr>
          <w:sz w:val="24"/>
          <w:szCs w:val="24"/>
        </w:rPr>
      </w:pPr>
    </w:p>
    <w:p w:rsidR="00AA0C35" w:rsidRDefault="00AA0C35" w:rsidP="001C67C2">
      <w:pPr>
        <w:contextualSpacing/>
        <w:rPr>
          <w:sz w:val="24"/>
          <w:szCs w:val="24"/>
        </w:rPr>
      </w:pPr>
    </w:p>
    <w:p w:rsidR="00D87F69" w:rsidRDefault="00D87F69" w:rsidP="001C67C2">
      <w:pPr>
        <w:spacing w:line="360" w:lineRule="auto"/>
        <w:contextualSpacing/>
        <w:rPr>
          <w:b/>
          <w:bCs/>
          <w:sz w:val="18"/>
          <w:szCs w:val="18"/>
        </w:rPr>
      </w:pPr>
    </w:p>
    <w:p w:rsidR="001C67C2" w:rsidRDefault="001C67C2" w:rsidP="001C67C2">
      <w:pPr>
        <w:spacing w:line="360" w:lineRule="auto"/>
        <w:contextualSpacing/>
        <w:jc w:val="center"/>
        <w:rPr>
          <w:b/>
          <w:bCs/>
          <w:sz w:val="18"/>
          <w:szCs w:val="18"/>
        </w:rPr>
      </w:pPr>
    </w:p>
    <w:p w:rsidR="001C67C2" w:rsidRDefault="001C67C2" w:rsidP="001C67C2">
      <w:pPr>
        <w:spacing w:line="360" w:lineRule="auto"/>
        <w:contextualSpacing/>
        <w:jc w:val="center"/>
        <w:rPr>
          <w:b/>
          <w:bCs/>
          <w:sz w:val="18"/>
          <w:szCs w:val="18"/>
        </w:rPr>
      </w:pPr>
    </w:p>
    <w:p w:rsidR="001D5D6F" w:rsidRDefault="001D5D6F" w:rsidP="001C67C2">
      <w:pPr>
        <w:spacing w:line="360" w:lineRule="auto"/>
        <w:contextualSpacing/>
        <w:jc w:val="center"/>
        <w:rPr>
          <w:b/>
          <w:bCs/>
          <w:sz w:val="18"/>
          <w:szCs w:val="18"/>
        </w:rPr>
      </w:pPr>
    </w:p>
    <w:p w:rsidR="001D5D6F" w:rsidRDefault="001D5D6F" w:rsidP="001C67C2">
      <w:pPr>
        <w:spacing w:line="360" w:lineRule="auto"/>
        <w:contextualSpacing/>
        <w:jc w:val="center"/>
        <w:rPr>
          <w:b/>
          <w:bCs/>
          <w:sz w:val="18"/>
          <w:szCs w:val="18"/>
        </w:rPr>
      </w:pPr>
    </w:p>
    <w:p w:rsidR="001D5D6F" w:rsidRDefault="001D5D6F" w:rsidP="001C67C2">
      <w:pPr>
        <w:spacing w:line="360" w:lineRule="auto"/>
        <w:contextualSpacing/>
        <w:jc w:val="center"/>
        <w:rPr>
          <w:b/>
          <w:bCs/>
          <w:sz w:val="18"/>
          <w:szCs w:val="18"/>
        </w:rPr>
      </w:pPr>
    </w:p>
    <w:p w:rsidR="00AA0C35" w:rsidRDefault="00AA0C35" w:rsidP="001D5D6F">
      <w:pPr>
        <w:spacing w:line="360" w:lineRule="auto"/>
        <w:contextualSpacing/>
        <w:jc w:val="center"/>
        <w:rPr>
          <w:b/>
          <w:bCs/>
          <w:sz w:val="18"/>
          <w:szCs w:val="18"/>
        </w:rPr>
      </w:pPr>
      <w:r w:rsidRPr="00AA0C35">
        <w:rPr>
          <w:b/>
          <w:bCs/>
          <w:sz w:val="18"/>
          <w:szCs w:val="18"/>
        </w:rPr>
        <w:t xml:space="preserve">Figure </w:t>
      </w:r>
      <w:r w:rsidR="006C6EC6">
        <w:rPr>
          <w:b/>
          <w:bCs/>
          <w:sz w:val="18"/>
          <w:szCs w:val="18"/>
        </w:rPr>
        <w:t>4</w:t>
      </w:r>
      <w:r w:rsidRPr="00AA0C35">
        <w:rPr>
          <w:b/>
          <w:bCs/>
          <w:sz w:val="18"/>
          <w:szCs w:val="18"/>
        </w:rPr>
        <w:t>. Plot of Na</w:t>
      </w:r>
      <w:r w:rsidRPr="00AA0C35">
        <w:rPr>
          <w:b/>
          <w:bCs/>
          <w:sz w:val="18"/>
          <w:szCs w:val="18"/>
          <w:vertAlign w:val="superscript"/>
        </w:rPr>
        <w:t>+</w:t>
      </w:r>
      <w:r w:rsidRPr="00AA0C35">
        <w:rPr>
          <w:b/>
          <w:bCs/>
          <w:sz w:val="18"/>
          <w:szCs w:val="18"/>
        </w:rPr>
        <w:t xml:space="preserve"> vs Cl</w:t>
      </w:r>
      <w:r w:rsidRPr="00AA0C35">
        <w:rPr>
          <w:b/>
          <w:bCs/>
          <w:sz w:val="18"/>
          <w:szCs w:val="18"/>
          <w:vertAlign w:val="superscript"/>
        </w:rPr>
        <w:t>-</w:t>
      </w:r>
      <w:r w:rsidRPr="00AA0C35">
        <w:rPr>
          <w:b/>
          <w:bCs/>
          <w:sz w:val="18"/>
          <w:szCs w:val="18"/>
        </w:rPr>
        <w:t xml:space="preserve"> (a) and SO</w:t>
      </w:r>
      <w:r w:rsidRPr="00AA0C35">
        <w:rPr>
          <w:b/>
          <w:bCs/>
          <w:sz w:val="18"/>
          <w:szCs w:val="18"/>
          <w:vertAlign w:val="subscript"/>
        </w:rPr>
        <w:t>4</w:t>
      </w:r>
      <w:r w:rsidRPr="00AA0C35">
        <w:rPr>
          <w:b/>
          <w:bCs/>
          <w:sz w:val="18"/>
          <w:szCs w:val="18"/>
          <w:vertAlign w:val="superscript"/>
        </w:rPr>
        <w:t>2-</w:t>
      </w:r>
      <w:r w:rsidRPr="00AA0C35">
        <w:rPr>
          <w:b/>
          <w:bCs/>
          <w:sz w:val="18"/>
          <w:szCs w:val="18"/>
        </w:rPr>
        <w:t xml:space="preserve"> vs Ca</w:t>
      </w:r>
      <w:r w:rsidRPr="00AA0C35">
        <w:rPr>
          <w:b/>
          <w:bCs/>
          <w:sz w:val="18"/>
          <w:szCs w:val="18"/>
          <w:vertAlign w:val="superscript"/>
        </w:rPr>
        <w:t>2+</w:t>
      </w:r>
      <w:r w:rsidRPr="00AA0C35">
        <w:rPr>
          <w:b/>
          <w:bCs/>
          <w:sz w:val="18"/>
          <w:szCs w:val="18"/>
        </w:rPr>
        <w:t xml:space="preserve"> (b)</w:t>
      </w:r>
    </w:p>
    <w:p w:rsidR="00867D63" w:rsidRPr="00223EB7" w:rsidRDefault="00867D63" w:rsidP="001C67C2">
      <w:pPr>
        <w:spacing w:line="360" w:lineRule="auto"/>
        <w:contextualSpacing/>
        <w:rPr>
          <w:rFonts w:ascii="Arial" w:hAnsi="Arial" w:cs="Arial"/>
          <w:b/>
          <w:bCs/>
          <w:sz w:val="18"/>
          <w:szCs w:val="18"/>
        </w:rPr>
      </w:pPr>
      <w:r w:rsidRPr="00223EB7">
        <w:rPr>
          <w:rFonts w:ascii="Arial" w:hAnsi="Arial" w:cs="Arial"/>
          <w:b/>
          <w:bCs/>
          <w:sz w:val="18"/>
          <w:szCs w:val="18"/>
        </w:rPr>
        <w:t>Nitrate content</w:t>
      </w:r>
    </w:p>
    <w:p w:rsidR="00867D63" w:rsidRPr="00223EB7" w:rsidRDefault="00867D63" w:rsidP="0055260E">
      <w:pPr>
        <w:contextualSpacing/>
      </w:pPr>
      <w:r w:rsidRPr="00223EB7">
        <w:t xml:space="preserve">Anthropogenic input can pose a serious threat to surface and groundwater quality, especially in arid and semi-arid areas </w:t>
      </w:r>
      <w:r w:rsidR="00120AA4">
        <w:t>where</w:t>
      </w:r>
      <w:r w:rsidRPr="00223EB7">
        <w:t xml:space="preserve"> high water demands coincides with the dry period. The concentration of NO</w:t>
      </w:r>
      <w:r w:rsidRPr="00223EB7">
        <w:rPr>
          <w:vertAlign w:val="subscript"/>
        </w:rPr>
        <w:t>3</w:t>
      </w:r>
      <w:r w:rsidRPr="00223EB7">
        <w:rPr>
          <w:vertAlign w:val="superscript"/>
        </w:rPr>
        <w:t xml:space="preserve">- </w:t>
      </w:r>
      <w:r w:rsidRPr="00223EB7">
        <w:t>may reflect anthropogenic input into the groundwater chemistry. About 80% of Ca-Mg-SO</w:t>
      </w:r>
      <w:r w:rsidRPr="00120AA4">
        <w:rPr>
          <w:vertAlign w:val="subscript"/>
        </w:rPr>
        <w:t>4</w:t>
      </w:r>
      <w:r w:rsidRPr="00223EB7">
        <w:t>-NO</w:t>
      </w:r>
      <w:r w:rsidRPr="00120AA4">
        <w:rPr>
          <w:vertAlign w:val="subscript"/>
        </w:rPr>
        <w:t>3</w:t>
      </w:r>
      <w:r w:rsidRPr="00223EB7">
        <w:t xml:space="preserve"> </w:t>
      </w:r>
      <w:r w:rsidR="00120AA4" w:rsidRPr="00223EB7">
        <w:t xml:space="preserve">water </w:t>
      </w:r>
      <w:r w:rsidRPr="00223EB7">
        <w:t>type</w:t>
      </w:r>
      <w:r w:rsidR="00120AA4">
        <w:t xml:space="preserve"> </w:t>
      </w:r>
      <w:r w:rsidR="0055260E" w:rsidRPr="0055260E">
        <w:t xml:space="preserve">exhibits nitrate values </w:t>
      </w:r>
      <w:r w:rsidR="0055260E">
        <w:t>(</w:t>
      </w:r>
      <w:r w:rsidR="0055260E" w:rsidRPr="00223EB7">
        <w:t>NO</w:t>
      </w:r>
      <w:r w:rsidR="0055260E" w:rsidRPr="00223EB7">
        <w:rPr>
          <w:vertAlign w:val="subscript"/>
        </w:rPr>
        <w:t>3</w:t>
      </w:r>
      <w:r w:rsidR="0055260E" w:rsidRPr="00223EB7">
        <w:rPr>
          <w:vertAlign w:val="superscript"/>
        </w:rPr>
        <w:t>-</w:t>
      </w:r>
      <w:r w:rsidR="0055260E">
        <w:t xml:space="preserve">) </w:t>
      </w:r>
      <w:r w:rsidR="0055260E" w:rsidRPr="0055260E">
        <w:t xml:space="preserve">more than 50 mg / l which is the maximum amount </w:t>
      </w:r>
      <w:r w:rsidRPr="00223EB7">
        <w:t>in drinking water (</w:t>
      </w:r>
      <w:r w:rsidRPr="00AB0D62">
        <w:rPr>
          <w:color w:val="0000FF"/>
        </w:rPr>
        <w:t>WHO 2006</w:t>
      </w:r>
      <w:r w:rsidRPr="00223EB7">
        <w:t xml:space="preserve">).The average value of nitrate in the whole water samples is 117 mg/l. These high nitrate concentrations provide evidence for the significance of the </w:t>
      </w:r>
      <w:r w:rsidR="002F0FDD" w:rsidRPr="00223EB7">
        <w:t>contribution</w:t>
      </w:r>
      <w:r w:rsidR="002F0FDD">
        <w:t xml:space="preserve"> of</w:t>
      </w:r>
      <w:r w:rsidR="002F0FDD" w:rsidRPr="00223EB7">
        <w:t xml:space="preserve"> </w:t>
      </w:r>
      <w:r w:rsidRPr="00223EB7">
        <w:t>return flow waters in the unconfined aquifer</w:t>
      </w:r>
      <w:r w:rsidR="002F0FDD">
        <w:t xml:space="preserve"> recharge</w:t>
      </w:r>
      <w:r w:rsidRPr="00223EB7">
        <w:t>.</w:t>
      </w:r>
    </w:p>
    <w:p w:rsidR="00AA5818" w:rsidRPr="00223EB7" w:rsidRDefault="00AA5818" w:rsidP="001C67C2">
      <w:pPr>
        <w:spacing w:line="360" w:lineRule="auto"/>
        <w:contextualSpacing/>
        <w:rPr>
          <w:rFonts w:ascii="Arial" w:hAnsi="Arial" w:cs="Arial"/>
          <w:b/>
          <w:bCs/>
          <w:sz w:val="18"/>
          <w:szCs w:val="18"/>
        </w:rPr>
      </w:pPr>
      <w:r w:rsidRPr="00223EB7">
        <w:rPr>
          <w:rFonts w:ascii="Arial" w:hAnsi="Arial" w:cs="Arial"/>
          <w:b/>
          <w:bCs/>
          <w:sz w:val="18"/>
          <w:szCs w:val="18"/>
        </w:rPr>
        <w:t>Isotopic data and salinity origins</w:t>
      </w:r>
    </w:p>
    <w:p w:rsidR="00AA5818" w:rsidRPr="00223EB7" w:rsidRDefault="002133D8" w:rsidP="002133D8">
      <w:pPr>
        <w:contextualSpacing/>
      </w:pPr>
      <w:r>
        <w:t>Stable isotopes</w:t>
      </w:r>
      <w:r w:rsidR="00AA5818" w:rsidRPr="00223EB7">
        <w:t xml:space="preserve"> </w:t>
      </w:r>
      <w:r>
        <w:t>(</w:t>
      </w:r>
      <w:r w:rsidR="00AA5818" w:rsidRPr="00223EB7">
        <w:rPr>
          <w:color w:val="000000"/>
          <w:lang w:eastAsia="fr-FR"/>
        </w:rPr>
        <w:t>δ</w:t>
      </w:r>
      <w:r w:rsidR="00AA5818" w:rsidRPr="00223EB7">
        <w:rPr>
          <w:color w:val="000000"/>
          <w:vertAlign w:val="superscript"/>
          <w:lang w:eastAsia="fr-FR"/>
        </w:rPr>
        <w:t>18</w:t>
      </w:r>
      <w:r w:rsidR="00AA5818" w:rsidRPr="00223EB7">
        <w:rPr>
          <w:color w:val="000000"/>
          <w:lang w:eastAsia="fr-FR"/>
        </w:rPr>
        <w:t>O and δD</w:t>
      </w:r>
      <w:r>
        <w:rPr>
          <w:color w:val="000000"/>
          <w:lang w:eastAsia="fr-FR"/>
        </w:rPr>
        <w:t>)</w:t>
      </w:r>
      <w:r w:rsidR="00AA5818" w:rsidRPr="00223EB7">
        <w:rPr>
          <w:color w:val="000000"/>
          <w:lang w:eastAsia="fr-FR"/>
        </w:rPr>
        <w:t xml:space="preserve"> are </w:t>
      </w:r>
      <w:r>
        <w:rPr>
          <w:color w:val="000000"/>
          <w:lang w:eastAsia="fr-FR"/>
        </w:rPr>
        <w:t>important tracers</w:t>
      </w:r>
      <w:r w:rsidRPr="00223EB7">
        <w:rPr>
          <w:color w:val="000000"/>
          <w:lang w:eastAsia="fr-FR"/>
        </w:rPr>
        <w:t xml:space="preserve"> </w:t>
      </w:r>
      <w:r>
        <w:rPr>
          <w:color w:val="000000"/>
          <w:lang w:eastAsia="fr-FR"/>
        </w:rPr>
        <w:t>to differentiate water origins</w:t>
      </w:r>
      <w:r w:rsidR="00AA5818" w:rsidRPr="00223EB7">
        <w:rPr>
          <w:color w:val="000000"/>
          <w:lang w:eastAsia="fr-FR"/>
        </w:rPr>
        <w:t>.</w:t>
      </w:r>
      <w:r w:rsidR="00AA5818" w:rsidRPr="00223EB7">
        <w:t xml:space="preserve"> </w:t>
      </w:r>
      <w:r>
        <w:t xml:space="preserve">They </w:t>
      </w:r>
      <w:r w:rsidR="00AA5818" w:rsidRPr="00223EB7">
        <w:t>can be indicator</w:t>
      </w:r>
      <w:r>
        <w:t>s</w:t>
      </w:r>
      <w:r w:rsidR="00AA5818" w:rsidRPr="00223EB7">
        <w:t xml:space="preserve"> of movement and origin of groundwater recharge</w:t>
      </w:r>
      <w:r w:rsidR="0048751E">
        <w:t xml:space="preserve"> as well</w:t>
      </w:r>
      <w:r w:rsidR="00AA5818" w:rsidRPr="00223EB7">
        <w:t xml:space="preserve">. Their signatures are compared to those of the precipitation represented by the Global Meteoric Water Line (GMWL) such that:  </w:t>
      </w:r>
      <w:r w:rsidR="00AA5818" w:rsidRPr="00223EB7">
        <w:rPr>
          <w:color w:val="000000"/>
          <w:lang w:eastAsia="fr-FR"/>
        </w:rPr>
        <w:t>δD = 8 δ</w:t>
      </w:r>
      <w:r w:rsidR="00AA5818" w:rsidRPr="00223EB7">
        <w:rPr>
          <w:color w:val="000000"/>
          <w:vertAlign w:val="superscript"/>
          <w:lang w:eastAsia="fr-FR"/>
        </w:rPr>
        <w:t>18</w:t>
      </w:r>
      <w:r w:rsidR="00AA5818" w:rsidRPr="00223EB7">
        <w:rPr>
          <w:color w:val="000000"/>
          <w:lang w:eastAsia="fr-FR"/>
        </w:rPr>
        <w:t>O + 10 (</w:t>
      </w:r>
      <w:r w:rsidR="00AA5818" w:rsidRPr="00223EB7">
        <w:rPr>
          <w:color w:val="0000FF"/>
          <w:lang w:eastAsia="fr-FR"/>
        </w:rPr>
        <w:t>Craig, 1961a</w:t>
      </w:r>
      <w:r w:rsidR="00AA5818" w:rsidRPr="00223EB7">
        <w:rPr>
          <w:color w:val="000000"/>
          <w:lang w:eastAsia="fr-FR"/>
        </w:rPr>
        <w:t>), and the Regional Meteoric Water Line (RMWL) which was calculated from the weighed annual mean of precipitation at Tunis-Carthage station (no.6071500), the nearest GNIP (Global Network for Isotopes Precipitations) station. The RMWL follows a linear regression: δ</w:t>
      </w:r>
      <w:r w:rsidR="00AA5818" w:rsidRPr="00223EB7">
        <w:rPr>
          <w:color w:val="000000"/>
          <w:vertAlign w:val="superscript"/>
          <w:lang w:eastAsia="fr-FR"/>
        </w:rPr>
        <w:t>2</w:t>
      </w:r>
      <w:r w:rsidR="00AA5818" w:rsidRPr="00223EB7">
        <w:rPr>
          <w:color w:val="000000"/>
          <w:lang w:eastAsia="fr-FR"/>
        </w:rPr>
        <w:t>H = 8 δ</w:t>
      </w:r>
      <w:r w:rsidR="00AA5818" w:rsidRPr="00223EB7">
        <w:rPr>
          <w:color w:val="000000"/>
          <w:vertAlign w:val="superscript"/>
          <w:lang w:eastAsia="fr-FR"/>
        </w:rPr>
        <w:t>18</w:t>
      </w:r>
      <w:r w:rsidR="00AA5818" w:rsidRPr="00223EB7">
        <w:rPr>
          <w:color w:val="000000"/>
          <w:lang w:eastAsia="fr-FR"/>
        </w:rPr>
        <w:t>O + 12,4 (</w:t>
      </w:r>
      <w:r w:rsidR="00AA5818" w:rsidRPr="00223EB7">
        <w:rPr>
          <w:color w:val="0000FF"/>
          <w:lang w:eastAsia="fr-FR"/>
        </w:rPr>
        <w:t>Maliki et al.2000, Ben Moussa et al.2010</w:t>
      </w:r>
      <w:r w:rsidR="00AA5818" w:rsidRPr="00223EB7">
        <w:rPr>
          <w:color w:val="000000"/>
          <w:lang w:eastAsia="fr-FR"/>
        </w:rPr>
        <w:t>).</w:t>
      </w:r>
    </w:p>
    <w:p w:rsidR="00AA5818" w:rsidRPr="00223EB7" w:rsidRDefault="00AA5818" w:rsidP="001C67C2">
      <w:pPr>
        <w:contextualSpacing/>
        <w:rPr>
          <w:color w:val="000000"/>
          <w:lang w:eastAsia="fr-FR"/>
        </w:rPr>
      </w:pPr>
      <w:r w:rsidRPr="00223EB7">
        <w:t xml:space="preserve">The isotopes compositions of </w:t>
      </w:r>
      <w:r w:rsidR="00372E36">
        <w:t xml:space="preserve"> </w:t>
      </w:r>
      <w:r w:rsidR="00372E36" w:rsidRPr="00223EB7">
        <w:rPr>
          <w:color w:val="000000"/>
          <w:lang w:eastAsia="fr-FR"/>
        </w:rPr>
        <w:t>δ</w:t>
      </w:r>
      <w:r w:rsidR="00372E36" w:rsidRPr="00223EB7">
        <w:rPr>
          <w:color w:val="000000"/>
          <w:vertAlign w:val="superscript"/>
          <w:lang w:eastAsia="fr-FR"/>
        </w:rPr>
        <w:t>18</w:t>
      </w:r>
      <w:r w:rsidR="00372E36" w:rsidRPr="00223EB7">
        <w:rPr>
          <w:color w:val="000000"/>
          <w:lang w:eastAsia="fr-FR"/>
        </w:rPr>
        <w:t xml:space="preserve">O and </w:t>
      </w:r>
      <w:r w:rsidR="00372E36">
        <w:rPr>
          <w:color w:val="000000"/>
          <w:lang w:eastAsia="fr-FR"/>
        </w:rPr>
        <w:t xml:space="preserve"> </w:t>
      </w:r>
      <w:r w:rsidRPr="00223EB7">
        <w:rPr>
          <w:color w:val="000000"/>
          <w:lang w:eastAsia="fr-FR"/>
        </w:rPr>
        <w:t>δ</w:t>
      </w:r>
      <w:r w:rsidRPr="00223EB7">
        <w:rPr>
          <w:color w:val="000000"/>
          <w:vertAlign w:val="superscript"/>
          <w:lang w:eastAsia="fr-FR"/>
        </w:rPr>
        <w:t>2</w:t>
      </w:r>
      <w:r w:rsidRPr="00223EB7">
        <w:rPr>
          <w:color w:val="000000"/>
          <w:lang w:eastAsia="fr-FR"/>
        </w:rPr>
        <w:t xml:space="preserve">H of all studied water in the plain of Sminja ranges from </w:t>
      </w:r>
      <w:r w:rsidRPr="00223EB7">
        <w:t>-8,79 ‰ à 0,54 ‰ et de -60,22 ‰ à -4,25</w:t>
      </w:r>
      <w:r>
        <w:t xml:space="preserve"> ‰</w:t>
      </w:r>
      <w:r w:rsidRPr="00223EB7">
        <w:t xml:space="preserve"> </w:t>
      </w:r>
      <w:r w:rsidRPr="00223EB7">
        <w:rPr>
          <w:color w:val="000000"/>
          <w:lang w:eastAsia="fr-FR"/>
        </w:rPr>
        <w:t>respectivel</w:t>
      </w:r>
      <w:r>
        <w:rPr>
          <w:color w:val="000000"/>
          <w:lang w:eastAsia="fr-FR"/>
        </w:rPr>
        <w:t>y</w:t>
      </w:r>
      <w:r w:rsidRPr="00223EB7">
        <w:rPr>
          <w:color w:val="000000"/>
          <w:lang w:eastAsia="fr-FR"/>
        </w:rPr>
        <w:t>.</w:t>
      </w:r>
    </w:p>
    <w:p w:rsidR="00867D63" w:rsidRDefault="00AA5818" w:rsidP="00422B2B">
      <w:pPr>
        <w:contextualSpacing/>
        <w:rPr>
          <w:color w:val="000000"/>
          <w:lang w:eastAsia="fr-FR"/>
        </w:rPr>
      </w:pPr>
      <w:r w:rsidRPr="00223EB7">
        <w:rPr>
          <w:color w:val="000000"/>
          <w:lang w:eastAsia="fr-FR"/>
        </w:rPr>
        <w:t xml:space="preserve">The delta diagram of oxygen and hydrogen isotopes plotted in </w:t>
      </w:r>
      <w:r w:rsidR="006C6EC6">
        <w:rPr>
          <w:lang w:eastAsia="fr-FR"/>
        </w:rPr>
        <w:t>(Fig.5</w:t>
      </w:r>
      <w:r w:rsidRPr="00AB0D62">
        <w:rPr>
          <w:lang w:eastAsia="fr-FR"/>
        </w:rPr>
        <w:t>)</w:t>
      </w:r>
      <w:r w:rsidRPr="00223EB7">
        <w:rPr>
          <w:color w:val="000000"/>
          <w:lang w:eastAsia="fr-FR"/>
        </w:rPr>
        <w:t xml:space="preserve"> show</w:t>
      </w:r>
      <w:r w:rsidR="00422B2B">
        <w:rPr>
          <w:color w:val="000000"/>
          <w:lang w:eastAsia="fr-FR"/>
        </w:rPr>
        <w:t>s</w:t>
      </w:r>
      <w:r w:rsidRPr="00223EB7">
        <w:rPr>
          <w:color w:val="000000"/>
          <w:lang w:eastAsia="fr-FR"/>
        </w:rPr>
        <w:t xml:space="preserve"> the existing of 3 mains groups: </w:t>
      </w:r>
      <w:r>
        <w:rPr>
          <w:color w:val="000000"/>
          <w:lang w:eastAsia="fr-FR"/>
        </w:rPr>
        <w:t>group I</w:t>
      </w:r>
      <w:r w:rsidRPr="00223EB7">
        <w:rPr>
          <w:color w:val="000000"/>
          <w:lang w:eastAsia="fr-FR"/>
        </w:rPr>
        <w:t xml:space="preserve">, including samples </w:t>
      </w:r>
      <w:r w:rsidR="00422B2B">
        <w:rPr>
          <w:color w:val="000000"/>
          <w:lang w:eastAsia="fr-FR"/>
        </w:rPr>
        <w:t>which</w:t>
      </w:r>
      <w:r w:rsidR="00422B2B" w:rsidRPr="00223EB7">
        <w:rPr>
          <w:color w:val="000000"/>
          <w:lang w:eastAsia="fr-FR"/>
        </w:rPr>
        <w:t xml:space="preserve"> </w:t>
      </w:r>
      <w:r w:rsidRPr="00223EB7">
        <w:rPr>
          <w:color w:val="000000"/>
          <w:lang w:eastAsia="fr-FR"/>
        </w:rPr>
        <w:t xml:space="preserve">lie </w:t>
      </w:r>
      <w:r w:rsidR="00AB0D62">
        <w:rPr>
          <w:color w:val="000000"/>
          <w:lang w:eastAsia="fr-FR"/>
        </w:rPr>
        <w:t xml:space="preserve">between </w:t>
      </w:r>
      <w:r w:rsidRPr="00223EB7">
        <w:rPr>
          <w:color w:val="000000"/>
          <w:lang w:eastAsia="fr-FR"/>
        </w:rPr>
        <w:t>the RMWL</w:t>
      </w:r>
      <w:r w:rsidR="00AB0D62">
        <w:rPr>
          <w:color w:val="000000"/>
          <w:lang w:eastAsia="fr-FR"/>
        </w:rPr>
        <w:t xml:space="preserve"> and the GMWL</w:t>
      </w:r>
      <w:r w:rsidRPr="00223EB7">
        <w:rPr>
          <w:color w:val="000000"/>
          <w:lang w:eastAsia="fr-FR"/>
        </w:rPr>
        <w:t>, characterized by more depleted stable isotope values with δ</w:t>
      </w:r>
      <w:r w:rsidRPr="00223EB7">
        <w:rPr>
          <w:color w:val="000000"/>
          <w:vertAlign w:val="superscript"/>
          <w:lang w:eastAsia="fr-FR"/>
        </w:rPr>
        <w:t>18</w:t>
      </w:r>
      <w:r w:rsidRPr="00223EB7">
        <w:rPr>
          <w:color w:val="000000"/>
          <w:lang w:eastAsia="fr-FR"/>
        </w:rPr>
        <w:t xml:space="preserve">O </w:t>
      </w:r>
      <w:r w:rsidR="00422B2B">
        <w:rPr>
          <w:color w:val="000000"/>
          <w:lang w:eastAsia="fr-FR"/>
        </w:rPr>
        <w:t xml:space="preserve">of </w:t>
      </w:r>
      <w:r w:rsidR="00DE5D25">
        <w:t>-8,79 ‰ to</w:t>
      </w:r>
      <w:r w:rsidR="002F23CD">
        <w:t xml:space="preserve"> -5,57 </w:t>
      </w:r>
      <w:r w:rsidR="002F23CD" w:rsidRPr="002F23CD">
        <w:t xml:space="preserve">‰ </w:t>
      </w:r>
      <w:r w:rsidR="002F23CD" w:rsidRPr="002F23CD">
        <w:rPr>
          <w:color w:val="000000"/>
          <w:lang w:eastAsia="fr-FR"/>
        </w:rPr>
        <w:t>and δ</w:t>
      </w:r>
      <w:r w:rsidR="002F23CD" w:rsidRPr="002F23CD">
        <w:rPr>
          <w:color w:val="000000"/>
          <w:vertAlign w:val="superscript"/>
          <w:lang w:eastAsia="fr-FR"/>
        </w:rPr>
        <w:t>2</w:t>
      </w:r>
      <w:r w:rsidR="002F23CD" w:rsidRPr="002F23CD">
        <w:rPr>
          <w:color w:val="000000"/>
          <w:lang w:eastAsia="fr-FR"/>
        </w:rPr>
        <w:t>H</w:t>
      </w:r>
      <w:r w:rsidR="00DE5D25">
        <w:t xml:space="preserve"> </w:t>
      </w:r>
      <w:r w:rsidR="00422B2B">
        <w:t xml:space="preserve">of </w:t>
      </w:r>
      <w:r w:rsidR="00DE5D25">
        <w:t>-60,22 ‰ to</w:t>
      </w:r>
      <w:r w:rsidRPr="00630F2C">
        <w:t xml:space="preserve"> -32,05 ‰</w:t>
      </w:r>
      <w:r w:rsidRPr="00223EB7">
        <w:rPr>
          <w:color w:val="000000"/>
          <w:lang w:eastAsia="fr-FR"/>
        </w:rPr>
        <w:t>, suggesting that they originated from infiltration modern precipitation that was not subject to surface or subsurface alteration of its isotopic composition (</w:t>
      </w:r>
      <w:r w:rsidRPr="00223EB7">
        <w:rPr>
          <w:color w:val="0000FF"/>
          <w:lang w:eastAsia="fr-FR"/>
        </w:rPr>
        <w:t>Grünberger et al. 2004</w:t>
      </w:r>
      <w:r w:rsidRPr="00223EB7">
        <w:rPr>
          <w:color w:val="000000"/>
          <w:lang w:eastAsia="fr-FR"/>
        </w:rPr>
        <w:t>), and non-evaporated water is rapidly infiltrated to the saturated zone.</w:t>
      </w:r>
      <w:r>
        <w:rPr>
          <w:color w:val="000000"/>
          <w:lang w:eastAsia="fr-FR"/>
        </w:rPr>
        <w:t xml:space="preserve"> Group II</w:t>
      </w:r>
      <w:r w:rsidRPr="00223EB7">
        <w:rPr>
          <w:color w:val="000000"/>
          <w:lang w:eastAsia="fr-FR"/>
        </w:rPr>
        <w:t xml:space="preserve">, in which, samples </w:t>
      </w:r>
      <w:r w:rsidR="00324507">
        <w:rPr>
          <w:color w:val="000000"/>
          <w:lang w:eastAsia="fr-FR"/>
        </w:rPr>
        <w:t>plotted</w:t>
      </w:r>
      <w:r w:rsidRPr="00223EB7">
        <w:rPr>
          <w:color w:val="000000"/>
          <w:lang w:eastAsia="fr-FR"/>
        </w:rPr>
        <w:t xml:space="preserve"> a little below the GM</w:t>
      </w:r>
      <w:r w:rsidR="00324507">
        <w:rPr>
          <w:color w:val="000000"/>
          <w:lang w:eastAsia="fr-FR"/>
        </w:rPr>
        <w:t>WL belong to Ca-Mg-SO</w:t>
      </w:r>
      <w:r w:rsidR="00324507" w:rsidRPr="00422B2B">
        <w:rPr>
          <w:color w:val="000000"/>
          <w:vertAlign w:val="subscript"/>
          <w:lang w:eastAsia="fr-FR"/>
        </w:rPr>
        <w:t>4</w:t>
      </w:r>
      <w:r w:rsidR="00324507">
        <w:rPr>
          <w:color w:val="000000"/>
          <w:lang w:eastAsia="fr-FR"/>
        </w:rPr>
        <w:t>-NO</w:t>
      </w:r>
      <w:r w:rsidR="00324507" w:rsidRPr="00422B2B">
        <w:rPr>
          <w:color w:val="000000"/>
          <w:vertAlign w:val="subscript"/>
          <w:lang w:eastAsia="fr-FR"/>
        </w:rPr>
        <w:t>3</w:t>
      </w:r>
      <w:r w:rsidR="00324507">
        <w:rPr>
          <w:color w:val="000000"/>
          <w:lang w:eastAsia="fr-FR"/>
        </w:rPr>
        <w:t xml:space="preserve"> type, i</w:t>
      </w:r>
      <w:r w:rsidRPr="00223EB7">
        <w:rPr>
          <w:color w:val="000000"/>
          <w:lang w:eastAsia="fr-FR"/>
        </w:rPr>
        <w:t>ndicatin</w:t>
      </w:r>
      <w:r>
        <w:rPr>
          <w:color w:val="000000"/>
          <w:lang w:eastAsia="fr-FR"/>
        </w:rPr>
        <w:t>g water with slight evaporation,</w:t>
      </w:r>
      <w:r w:rsidRPr="00223EB7">
        <w:rPr>
          <w:color w:val="000000"/>
          <w:lang w:eastAsia="fr-FR"/>
        </w:rPr>
        <w:t xml:space="preserve"> </w:t>
      </w:r>
      <w:r>
        <w:rPr>
          <w:color w:val="000000"/>
          <w:lang w:eastAsia="fr-FR"/>
        </w:rPr>
        <w:t>t</w:t>
      </w:r>
      <w:r w:rsidRPr="00223EB7">
        <w:rPr>
          <w:color w:val="000000"/>
          <w:lang w:eastAsia="fr-FR"/>
        </w:rPr>
        <w:t xml:space="preserve">his evaporation </w:t>
      </w:r>
      <w:r>
        <w:rPr>
          <w:color w:val="000000"/>
          <w:lang w:eastAsia="fr-FR"/>
        </w:rPr>
        <w:t>is probably</w:t>
      </w:r>
      <w:r w:rsidR="00422B2B">
        <w:rPr>
          <w:color w:val="000000"/>
          <w:lang w:eastAsia="fr-FR"/>
        </w:rPr>
        <w:t xml:space="preserve"> </w:t>
      </w:r>
      <w:r>
        <w:rPr>
          <w:color w:val="000000"/>
          <w:lang w:eastAsia="fr-FR"/>
        </w:rPr>
        <w:t xml:space="preserve">the result of </w:t>
      </w:r>
      <w:r w:rsidRPr="00287859">
        <w:rPr>
          <w:color w:val="000000"/>
          <w:lang w:eastAsia="fr-FR"/>
        </w:rPr>
        <w:t>water</w:t>
      </w:r>
      <w:r>
        <w:rPr>
          <w:color w:val="000000"/>
          <w:lang w:eastAsia="fr-FR"/>
        </w:rPr>
        <w:t>-rock interaction</w:t>
      </w:r>
      <w:r w:rsidRPr="00287859">
        <w:rPr>
          <w:color w:val="000000"/>
          <w:lang w:eastAsia="fr-FR"/>
        </w:rPr>
        <w:t xml:space="preserve"> and </w:t>
      </w:r>
      <w:r w:rsidR="00422B2B">
        <w:rPr>
          <w:color w:val="000000"/>
          <w:lang w:eastAsia="fr-FR"/>
        </w:rPr>
        <w:t>the effect of the irrigation</w:t>
      </w:r>
      <w:r w:rsidRPr="00287859">
        <w:rPr>
          <w:color w:val="000000"/>
          <w:lang w:eastAsia="fr-FR"/>
        </w:rPr>
        <w:t xml:space="preserve"> </w:t>
      </w:r>
      <w:r w:rsidRPr="00223EB7">
        <w:rPr>
          <w:color w:val="000000"/>
          <w:lang w:eastAsia="fr-FR"/>
        </w:rPr>
        <w:t xml:space="preserve">return flow process </w:t>
      </w:r>
      <w:r w:rsidR="00422B2B">
        <w:rPr>
          <w:color w:val="000000"/>
          <w:lang w:eastAsia="fr-FR"/>
        </w:rPr>
        <w:t xml:space="preserve">which is </w:t>
      </w:r>
      <w:r w:rsidRPr="00223EB7">
        <w:rPr>
          <w:color w:val="000000"/>
          <w:lang w:eastAsia="fr-FR"/>
        </w:rPr>
        <w:t xml:space="preserve">relatively abundant in </w:t>
      </w:r>
      <w:r w:rsidR="00422B2B">
        <w:rPr>
          <w:color w:val="000000"/>
          <w:lang w:eastAsia="fr-FR"/>
        </w:rPr>
        <w:t xml:space="preserve">the </w:t>
      </w:r>
      <w:r w:rsidRPr="00223EB7">
        <w:rPr>
          <w:color w:val="000000"/>
          <w:lang w:eastAsia="fr-FR"/>
        </w:rPr>
        <w:t>zones where flood irrigation is applied in large scale.</w:t>
      </w:r>
      <w:r>
        <w:rPr>
          <w:color w:val="000000"/>
          <w:lang w:eastAsia="fr-FR"/>
        </w:rPr>
        <w:t xml:space="preserve"> </w:t>
      </w:r>
      <w:r w:rsidRPr="00223EB7">
        <w:rPr>
          <w:color w:val="000000"/>
          <w:lang w:eastAsia="fr-FR"/>
        </w:rPr>
        <w:t xml:space="preserve">Group III: contains samples </w:t>
      </w:r>
      <w:r w:rsidR="00422B2B">
        <w:rPr>
          <w:color w:val="000000"/>
          <w:lang w:eastAsia="fr-FR"/>
        </w:rPr>
        <w:t>which</w:t>
      </w:r>
      <w:r w:rsidR="00422B2B" w:rsidRPr="00223EB7">
        <w:rPr>
          <w:color w:val="000000"/>
          <w:lang w:eastAsia="fr-FR"/>
        </w:rPr>
        <w:t xml:space="preserve"> </w:t>
      </w:r>
      <w:r w:rsidRPr="00223EB7">
        <w:rPr>
          <w:color w:val="000000"/>
          <w:lang w:eastAsia="fr-FR"/>
        </w:rPr>
        <w:t>falls much below the GMWL belong</w:t>
      </w:r>
      <w:r w:rsidR="00422B2B">
        <w:rPr>
          <w:color w:val="000000"/>
          <w:lang w:eastAsia="fr-FR"/>
        </w:rPr>
        <w:t>ing</w:t>
      </w:r>
      <w:r w:rsidRPr="00223EB7">
        <w:rPr>
          <w:color w:val="000000"/>
          <w:lang w:eastAsia="fr-FR"/>
        </w:rPr>
        <w:t xml:space="preserve"> to Na-Cl type. This deviation is assumed to either the evaporation of meteoric water prior to groundwater recharge, and/or extensive water-rock interaction within the aquifer (</w:t>
      </w:r>
      <w:r w:rsidRPr="00223EB7">
        <w:rPr>
          <w:color w:val="0000FF"/>
          <w:lang w:eastAsia="fr-FR"/>
        </w:rPr>
        <w:t>Banner et al. 1989</w:t>
      </w:r>
      <w:r w:rsidRPr="00223EB7">
        <w:rPr>
          <w:color w:val="000000"/>
          <w:lang w:eastAsia="fr-FR"/>
        </w:rPr>
        <w:t>).</w:t>
      </w:r>
    </w:p>
    <w:p w:rsidR="006C6EC6" w:rsidRDefault="006C6EC6" w:rsidP="001C67C2">
      <w:pPr>
        <w:contextualSpacing/>
        <w:jc w:val="center"/>
        <w:rPr>
          <w:b/>
          <w:bCs/>
          <w:sz w:val="18"/>
          <w:szCs w:val="18"/>
        </w:rPr>
      </w:pPr>
    </w:p>
    <w:p w:rsidR="006C6EC6" w:rsidRDefault="005F460B" w:rsidP="001C67C2">
      <w:pPr>
        <w:contextualSpacing/>
        <w:jc w:val="center"/>
        <w:rPr>
          <w:b/>
          <w:bCs/>
          <w:sz w:val="18"/>
          <w:szCs w:val="18"/>
        </w:rPr>
      </w:pPr>
      <w:r>
        <w:rPr>
          <w:b/>
          <w:bCs/>
          <w:noProof/>
          <w:sz w:val="18"/>
          <w:szCs w:val="18"/>
          <w:lang w:val="fr-FR" w:eastAsia="fr-FR"/>
        </w:rPr>
        <w:drawing>
          <wp:anchor distT="0" distB="0" distL="114300" distR="114300" simplePos="0" relativeHeight="251653632" behindDoc="0" locked="0" layoutInCell="1" allowOverlap="1">
            <wp:simplePos x="0" y="0"/>
            <wp:positionH relativeFrom="column">
              <wp:posOffset>318975</wp:posOffset>
            </wp:positionH>
            <wp:positionV relativeFrom="paragraph">
              <wp:posOffset>29845</wp:posOffset>
            </wp:positionV>
            <wp:extent cx="2535985" cy="1533525"/>
            <wp:effectExtent l="3380" t="0" r="0" b="0"/>
            <wp:wrapNone/>
            <wp:docPr id="22"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2743200"/>
                      <a:chOff x="0" y="0"/>
                      <a:chExt cx="4572000" cy="2743200"/>
                    </a:xfrm>
                  </a:grpSpPr>
                  <a:graphicFrame>
                    <a:nvGraphicFramePr>
                      <a:cNvPr id="4" name="Graphique 3"/>
                      <a:cNvGraphicFramePr/>
                    </a:nvGraphicFramePr>
                    <a:graphic>
                      <a:graphicData uri="http://schemas.openxmlformats.org/drawingml/2006/chart">
                        <c:chart xmlns:c="http://schemas.openxmlformats.org/drawingml/2006/chart" xmlns:r="http://schemas.openxmlformats.org/officeDocument/2006/relationships" r:id="rId18"/>
                      </a:graphicData>
                    </a:graphic>
                    <a:xfrm>
                      <a:off x="0" y="0"/>
                      <a:ext cx="4572000" cy="2743200"/>
                    </a:xfrm>
                  </a:graphicFrame>
                  <a:sp>
                    <a:nvSpPr>
                      <a:cNvPr id="5" name="Ellipse 4"/>
                      <a:cNvSpPr/>
                    </a:nvSpPr>
                    <a:spPr>
                      <a:xfrm rot="3502778">
                        <a:off x="1431384" y="1010629"/>
                        <a:ext cx="308280" cy="1292462"/>
                      </a:xfrm>
                      <a:prstGeom prst="ellipse">
                        <a:avLst/>
                      </a:prstGeom>
                      <a:noFill/>
                      <a:ln w="19050">
                        <a:solidFill>
                          <a:sysClr val="windowText" lastClr="000000"/>
                        </a:solidFill>
                        <a:prstDash val="sysDot"/>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Ellipse 5"/>
                      <a:cNvSpPr/>
                    </a:nvSpPr>
                    <a:spPr>
                      <a:xfrm rot="4147373">
                        <a:off x="3052035" y="420656"/>
                        <a:ext cx="697264" cy="1483017"/>
                      </a:xfrm>
                      <a:prstGeom prst="ellipse">
                        <a:avLst/>
                      </a:prstGeom>
                      <a:noFill/>
                      <a:ln w="19050">
                        <a:solidFill>
                          <a:sysClr val="windowText" lastClr="000000"/>
                        </a:solidFill>
                        <a:prstDash val="sysDot"/>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Connecteur droit 7"/>
                      <a:cNvCxnSpPr/>
                    </a:nvCxnSpPr>
                    <a:spPr>
                      <a:xfrm>
                        <a:off x="771525" y="971550"/>
                        <a:ext cx="276225" cy="1588"/>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Connecteur droit 8"/>
                      <a:cNvCxnSpPr/>
                    </a:nvCxnSpPr>
                    <a:spPr>
                      <a:xfrm>
                        <a:off x="781050" y="1104900"/>
                        <a:ext cx="276225" cy="1588"/>
                      </a:xfrm>
                      <a:prstGeom prst="line">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10" name="ZoneTexte 9"/>
                      <a:cNvSpPr txBox="1"/>
                    </a:nvSpPr>
                    <a:spPr>
                      <a:xfrm>
                        <a:off x="1009650" y="990600"/>
                        <a:ext cx="531940" cy="248851"/>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1000"/>
                            <a:t>RMWL</a:t>
                          </a:r>
                        </a:p>
                      </a:txBody>
                      <a:useSpRect/>
                    </a:txSp>
                    <a:style>
                      <a:lnRef idx="0">
                        <a:scrgbClr r="0" g="0" b="0"/>
                      </a:lnRef>
                      <a:fillRef idx="0">
                        <a:scrgbClr r="0" g="0" b="0"/>
                      </a:fillRef>
                      <a:effectRef idx="0">
                        <a:scrgbClr r="0" g="0" b="0"/>
                      </a:effectRef>
                      <a:fontRef idx="minor">
                        <a:schemeClr val="tx1"/>
                      </a:fontRef>
                    </a:style>
                  </a:sp>
                  <a:sp>
                    <a:nvSpPr>
                      <a:cNvPr id="11" name="ZoneTexte 10"/>
                      <a:cNvSpPr txBox="1"/>
                    </a:nvSpPr>
                    <a:spPr>
                      <a:xfrm>
                        <a:off x="1009650" y="838200"/>
                        <a:ext cx="543226" cy="248851"/>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1000"/>
                            <a:t>GMWL</a:t>
                          </a:r>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p w:rsidR="006C6EC6" w:rsidRDefault="006C6EC6" w:rsidP="001C67C2">
      <w:pPr>
        <w:contextualSpacing/>
        <w:jc w:val="center"/>
        <w:rPr>
          <w:b/>
          <w:bCs/>
          <w:sz w:val="18"/>
          <w:szCs w:val="18"/>
        </w:rPr>
      </w:pPr>
    </w:p>
    <w:p w:rsidR="006C6EC6" w:rsidRDefault="006C6EC6" w:rsidP="006C6EC6">
      <w:pPr>
        <w:contextualSpacing/>
        <w:jc w:val="center"/>
        <w:rPr>
          <w:b/>
          <w:bCs/>
          <w:sz w:val="18"/>
          <w:szCs w:val="18"/>
        </w:rPr>
      </w:pPr>
    </w:p>
    <w:p w:rsidR="006C6EC6" w:rsidRDefault="006C6EC6" w:rsidP="006C6EC6">
      <w:pPr>
        <w:contextualSpacing/>
        <w:jc w:val="center"/>
        <w:rPr>
          <w:b/>
          <w:bCs/>
          <w:sz w:val="18"/>
          <w:szCs w:val="18"/>
        </w:rPr>
      </w:pPr>
    </w:p>
    <w:p w:rsidR="006C6EC6" w:rsidRDefault="006C6EC6" w:rsidP="006C6EC6">
      <w:pPr>
        <w:contextualSpacing/>
        <w:jc w:val="center"/>
        <w:rPr>
          <w:b/>
          <w:bCs/>
          <w:sz w:val="18"/>
          <w:szCs w:val="18"/>
        </w:rPr>
      </w:pPr>
    </w:p>
    <w:p w:rsidR="006C6EC6" w:rsidRDefault="006C6EC6" w:rsidP="006C6EC6">
      <w:pPr>
        <w:contextualSpacing/>
        <w:jc w:val="center"/>
        <w:rPr>
          <w:b/>
          <w:bCs/>
          <w:sz w:val="18"/>
          <w:szCs w:val="18"/>
        </w:rPr>
      </w:pPr>
    </w:p>
    <w:p w:rsidR="006C6EC6" w:rsidRDefault="006C6EC6" w:rsidP="006C6EC6">
      <w:pPr>
        <w:contextualSpacing/>
        <w:jc w:val="center"/>
        <w:rPr>
          <w:b/>
          <w:bCs/>
          <w:sz w:val="18"/>
          <w:szCs w:val="18"/>
        </w:rPr>
      </w:pPr>
      <w:r>
        <w:rPr>
          <w:b/>
          <w:bCs/>
          <w:noProof/>
          <w:sz w:val="18"/>
          <w:szCs w:val="18"/>
          <w:lang w:val="fr-FR" w:eastAsia="fr-FR"/>
        </w:rPr>
        <w:pict>
          <v:shape id="_x0000_s1049" type="#_x0000_t202" style="position:absolute;left:0;text-align:left;margin-left:166.2pt;margin-top:4.05pt;width:29.55pt;height:18.25pt;z-index:251656704" filled="f" stroked="f">
            <v:textbox>
              <w:txbxContent>
                <w:p w:rsidR="00E15DAA" w:rsidRPr="00E15DAA" w:rsidRDefault="00E15DAA">
                  <w:pPr>
                    <w:rPr>
                      <w:lang w:val="fr-FR"/>
                    </w:rPr>
                  </w:pPr>
                  <w:r>
                    <w:rPr>
                      <w:lang w:val="fr-FR"/>
                    </w:rPr>
                    <w:t>III</w:t>
                  </w:r>
                </w:p>
              </w:txbxContent>
            </v:textbox>
          </v:shape>
        </w:pict>
      </w:r>
      <w:r>
        <w:rPr>
          <w:b/>
          <w:bCs/>
          <w:noProof/>
          <w:sz w:val="18"/>
          <w:szCs w:val="18"/>
          <w:lang w:val="fr-FR" w:eastAsia="fr-FR"/>
        </w:rPr>
        <w:pict>
          <v:shape id="_x0000_s1048" type="#_x0000_t202" style="position:absolute;left:0;text-align:left;margin-left:119.5pt;margin-top:6.8pt;width:23.65pt;height:18.8pt;z-index:251655680" filled="f" stroked="f">
            <v:textbox style="mso-next-textbox:#_x0000_s1048">
              <w:txbxContent>
                <w:p w:rsidR="00E15DAA" w:rsidRPr="00E15DAA" w:rsidRDefault="00E15DAA">
                  <w:pPr>
                    <w:rPr>
                      <w:lang w:val="fr-FR"/>
                    </w:rPr>
                  </w:pPr>
                  <w:r>
                    <w:rPr>
                      <w:lang w:val="fr-FR"/>
                    </w:rPr>
                    <w:t>II</w:t>
                  </w:r>
                </w:p>
              </w:txbxContent>
            </v:textbox>
          </v:shape>
        </w:pict>
      </w:r>
    </w:p>
    <w:p w:rsidR="006C6EC6" w:rsidRDefault="006C6EC6" w:rsidP="006C6EC6">
      <w:pPr>
        <w:contextualSpacing/>
        <w:jc w:val="center"/>
        <w:rPr>
          <w:b/>
          <w:bCs/>
          <w:sz w:val="18"/>
          <w:szCs w:val="18"/>
        </w:rPr>
      </w:pPr>
      <w:r>
        <w:rPr>
          <w:b/>
          <w:bCs/>
          <w:noProof/>
          <w:sz w:val="18"/>
          <w:szCs w:val="18"/>
          <w:lang w:val="fr-FR" w:eastAsia="fr-FR"/>
        </w:rPr>
        <w:pict>
          <v:shape id="_x0000_s1047" type="#_x0000_t202" style="position:absolute;left:0;text-align:left;margin-left:91.45pt;margin-top:4.6pt;width:14.05pt;height:18.25pt;z-index:251654656" filled="f" stroked="f">
            <v:textbox style="mso-next-textbox:#_x0000_s1047">
              <w:txbxContent>
                <w:p w:rsidR="00E15DAA" w:rsidRPr="00E15DAA" w:rsidRDefault="00E15DAA">
                  <w:pPr>
                    <w:rPr>
                      <w:lang w:val="fr-FR"/>
                    </w:rPr>
                  </w:pPr>
                  <w:r>
                    <w:rPr>
                      <w:lang w:val="fr-FR"/>
                    </w:rPr>
                    <w:t>I</w:t>
                  </w:r>
                </w:p>
              </w:txbxContent>
            </v:textbox>
          </v:shape>
        </w:pict>
      </w:r>
    </w:p>
    <w:p w:rsidR="006C6EC6" w:rsidRDefault="006C6EC6" w:rsidP="006C6EC6">
      <w:pPr>
        <w:contextualSpacing/>
        <w:jc w:val="center"/>
        <w:rPr>
          <w:b/>
          <w:bCs/>
          <w:sz w:val="18"/>
          <w:szCs w:val="18"/>
        </w:rPr>
      </w:pPr>
    </w:p>
    <w:p w:rsidR="006C6EC6" w:rsidRDefault="006C6EC6" w:rsidP="006C6EC6">
      <w:pPr>
        <w:contextualSpacing/>
        <w:jc w:val="center"/>
        <w:rPr>
          <w:b/>
          <w:bCs/>
          <w:sz w:val="18"/>
          <w:szCs w:val="18"/>
        </w:rPr>
      </w:pPr>
    </w:p>
    <w:p w:rsidR="006C6EC6" w:rsidRDefault="006C6EC6" w:rsidP="006C6EC6">
      <w:pPr>
        <w:contextualSpacing/>
        <w:jc w:val="center"/>
        <w:rPr>
          <w:b/>
          <w:bCs/>
          <w:sz w:val="18"/>
          <w:szCs w:val="18"/>
        </w:rPr>
      </w:pPr>
    </w:p>
    <w:p w:rsidR="006C6EC6" w:rsidRDefault="006C6EC6" w:rsidP="006C6EC6">
      <w:pPr>
        <w:contextualSpacing/>
        <w:jc w:val="center"/>
        <w:rPr>
          <w:b/>
          <w:bCs/>
          <w:sz w:val="18"/>
          <w:szCs w:val="18"/>
        </w:rPr>
      </w:pPr>
    </w:p>
    <w:p w:rsidR="006C6EC6" w:rsidRDefault="006C6EC6" w:rsidP="006C6EC6">
      <w:pPr>
        <w:contextualSpacing/>
        <w:jc w:val="center"/>
        <w:rPr>
          <w:b/>
          <w:bCs/>
          <w:color w:val="000000"/>
          <w:sz w:val="18"/>
          <w:szCs w:val="18"/>
          <w:lang w:eastAsia="fr-FR"/>
        </w:rPr>
      </w:pPr>
      <w:r>
        <w:rPr>
          <w:b/>
          <w:bCs/>
          <w:sz w:val="18"/>
          <w:szCs w:val="18"/>
        </w:rPr>
        <w:t>Figure 5</w:t>
      </w:r>
      <w:r w:rsidR="00AA5818" w:rsidRPr="004F1DBD">
        <w:rPr>
          <w:b/>
          <w:bCs/>
          <w:sz w:val="18"/>
          <w:szCs w:val="18"/>
        </w:rPr>
        <w:t>. Delta diagram (</w:t>
      </w:r>
      <w:r w:rsidR="00AA5818" w:rsidRPr="004F1DBD">
        <w:rPr>
          <w:b/>
          <w:bCs/>
          <w:color w:val="000000"/>
          <w:sz w:val="18"/>
          <w:szCs w:val="18"/>
          <w:lang w:eastAsia="fr-FR"/>
        </w:rPr>
        <w:t>δD</w:t>
      </w:r>
      <w:r w:rsidR="004F1DBD" w:rsidRPr="004F1DBD">
        <w:rPr>
          <w:b/>
          <w:bCs/>
          <w:color w:val="000000"/>
          <w:sz w:val="18"/>
          <w:szCs w:val="18"/>
          <w:lang w:eastAsia="fr-FR"/>
        </w:rPr>
        <w:t xml:space="preserve"> vs δ</w:t>
      </w:r>
      <w:r w:rsidR="004F1DBD" w:rsidRPr="004F1DBD">
        <w:rPr>
          <w:b/>
          <w:bCs/>
          <w:color w:val="000000"/>
          <w:sz w:val="18"/>
          <w:szCs w:val="18"/>
          <w:vertAlign w:val="superscript"/>
          <w:lang w:eastAsia="fr-FR"/>
        </w:rPr>
        <w:t>18</w:t>
      </w:r>
      <w:r w:rsidR="004F1DBD" w:rsidRPr="004F1DBD">
        <w:rPr>
          <w:b/>
          <w:bCs/>
          <w:color w:val="000000"/>
          <w:sz w:val="18"/>
          <w:szCs w:val="18"/>
          <w:lang w:eastAsia="fr-FR"/>
        </w:rPr>
        <w:t>O</w:t>
      </w:r>
    </w:p>
    <w:p w:rsidR="006C6EC6" w:rsidRPr="006C6EC6" w:rsidRDefault="006C6EC6" w:rsidP="006C6EC6">
      <w:pPr>
        <w:contextualSpacing/>
        <w:rPr>
          <w:b/>
          <w:bCs/>
          <w:sz w:val="18"/>
          <w:szCs w:val="18"/>
        </w:rPr>
      </w:pPr>
    </w:p>
    <w:p w:rsidR="00C80A6F" w:rsidRDefault="00422B2B" w:rsidP="001C67C2">
      <w:pPr>
        <w:contextualSpacing/>
      </w:pPr>
      <w:r>
        <w:t>W</w:t>
      </w:r>
      <w:r w:rsidR="00C80A6F">
        <w:t>hen the cause of the salinity is due to the concentration of the dissolved salts by evaporation, the regression of deuterium versus oxygen-18 is a typical evaporation process with a slope between 4 and 6 and the correlation between one of these two isotopes and an ionic species such as chlorides will be positive. (</w:t>
      </w:r>
      <w:r w:rsidR="00C80A6F" w:rsidRPr="00C80A6F">
        <w:rPr>
          <w:color w:val="0000FF"/>
        </w:rPr>
        <w:t>Benavente et al., 1990</w:t>
      </w:r>
      <w:r w:rsidR="00C80A6F">
        <w:t>). While in the case where the salinity is due to dissolution of evaporit</w:t>
      </w:r>
      <w:r>
        <w:t>e</w:t>
      </w:r>
      <w:r w:rsidR="00C80A6F">
        <w:t xml:space="preserve"> salts, there is no alteration of the isotopic composition of water percolation and absence of a correlation between the stable isotope and the ionic species. (</w:t>
      </w:r>
      <w:r w:rsidR="00C80A6F" w:rsidRPr="00C80A6F">
        <w:rPr>
          <w:color w:val="0000FF"/>
        </w:rPr>
        <w:t>Fritz &amp; Frape 1990</w:t>
      </w:r>
      <w:r w:rsidR="00C80A6F">
        <w:t>).</w:t>
      </w:r>
    </w:p>
    <w:p w:rsidR="00C80A6F" w:rsidRDefault="00C80A6F" w:rsidP="001C67C2">
      <w:pPr>
        <w:contextualSpacing/>
      </w:pPr>
      <w:r>
        <w:t xml:space="preserve">A plot of </w:t>
      </w:r>
      <w:r w:rsidRPr="00223EB7">
        <w:rPr>
          <w:color w:val="000000"/>
          <w:lang w:eastAsia="fr-FR"/>
        </w:rPr>
        <w:t>δ</w:t>
      </w:r>
      <w:r w:rsidRPr="00223EB7">
        <w:rPr>
          <w:color w:val="000000"/>
          <w:vertAlign w:val="superscript"/>
          <w:lang w:eastAsia="fr-FR"/>
        </w:rPr>
        <w:t>18</w:t>
      </w:r>
      <w:r w:rsidRPr="00223EB7">
        <w:rPr>
          <w:color w:val="000000"/>
          <w:lang w:eastAsia="fr-FR"/>
        </w:rPr>
        <w:t>O</w:t>
      </w:r>
      <w:r>
        <w:t xml:space="preserve"> vs Cl</w:t>
      </w:r>
      <w:r w:rsidRPr="00C80A6F">
        <w:rPr>
          <w:vertAlign w:val="superscript"/>
        </w:rPr>
        <w:t>-</w:t>
      </w:r>
      <w:r w:rsidR="005648DE">
        <w:rPr>
          <w:vertAlign w:val="superscript"/>
        </w:rPr>
        <w:t xml:space="preserve"> </w:t>
      </w:r>
      <w:r w:rsidR="006C6EC6">
        <w:t>(Fig. 6</w:t>
      </w:r>
      <w:r w:rsidR="005648DE">
        <w:t xml:space="preserve">) </w:t>
      </w:r>
      <w:r>
        <w:t>show the existence of three main groups:</w:t>
      </w:r>
    </w:p>
    <w:p w:rsidR="00B37C23" w:rsidRDefault="00B37C23" w:rsidP="00422B2B">
      <w:pPr>
        <w:numPr>
          <w:ilvl w:val="0"/>
          <w:numId w:val="35"/>
        </w:numPr>
        <w:ind w:left="284" w:hanging="284"/>
        <w:contextualSpacing/>
      </w:pPr>
      <w:r>
        <w:t>Samples with Cl</w:t>
      </w:r>
      <w:r w:rsidRPr="00B5685C">
        <w:rPr>
          <w:vertAlign w:val="superscript"/>
        </w:rPr>
        <w:t xml:space="preserve">- </w:t>
      </w:r>
      <w:r>
        <w:t xml:space="preserve">&lt; 20 meq/L and </w:t>
      </w:r>
      <w:r w:rsidR="004C0EBA" w:rsidRPr="00223EB7">
        <w:rPr>
          <w:color w:val="000000"/>
          <w:lang w:eastAsia="fr-FR"/>
        </w:rPr>
        <w:t>δ</w:t>
      </w:r>
      <w:r w:rsidR="004C0EBA" w:rsidRPr="00223EB7">
        <w:rPr>
          <w:color w:val="000000"/>
          <w:vertAlign w:val="superscript"/>
          <w:lang w:eastAsia="fr-FR"/>
        </w:rPr>
        <w:t>18</w:t>
      </w:r>
      <w:r w:rsidR="004C0EBA" w:rsidRPr="00223EB7">
        <w:rPr>
          <w:color w:val="000000"/>
          <w:lang w:eastAsia="fr-FR"/>
        </w:rPr>
        <w:t>O</w:t>
      </w:r>
      <w:r>
        <w:t xml:space="preserve"> &lt; -5.75 ‰ they are </w:t>
      </w:r>
      <w:r w:rsidR="00422B2B">
        <w:t xml:space="preserve">considered </w:t>
      </w:r>
      <w:r>
        <w:t>as fresh water recharged from meteoric water.</w:t>
      </w:r>
    </w:p>
    <w:p w:rsidR="00B37C23" w:rsidRDefault="00DA16DB" w:rsidP="00DA16DB">
      <w:pPr>
        <w:numPr>
          <w:ilvl w:val="0"/>
          <w:numId w:val="35"/>
        </w:numPr>
        <w:ind w:left="284" w:hanging="284"/>
        <w:contextualSpacing/>
      </w:pPr>
      <w:r>
        <w:t xml:space="preserve"> </w:t>
      </w:r>
      <w:r w:rsidR="00B37C23">
        <w:t>Samples where the isotopic ratios don’t change when the chloride concentration increases and no correlation can be observed between Cl</w:t>
      </w:r>
      <w:r w:rsidR="00B37C23" w:rsidRPr="00B5685C">
        <w:rPr>
          <w:vertAlign w:val="superscript"/>
        </w:rPr>
        <w:t>-</w:t>
      </w:r>
      <w:r w:rsidR="00B37C23">
        <w:t xml:space="preserve"> and </w:t>
      </w:r>
      <w:r w:rsidR="004C0EBA" w:rsidRPr="00223EB7">
        <w:rPr>
          <w:color w:val="000000"/>
          <w:lang w:eastAsia="fr-FR"/>
        </w:rPr>
        <w:t>δ</w:t>
      </w:r>
      <w:r w:rsidR="004C0EBA" w:rsidRPr="00223EB7">
        <w:rPr>
          <w:color w:val="000000"/>
          <w:vertAlign w:val="superscript"/>
          <w:lang w:eastAsia="fr-FR"/>
        </w:rPr>
        <w:t>18</w:t>
      </w:r>
      <w:r w:rsidR="004C0EBA" w:rsidRPr="00223EB7">
        <w:rPr>
          <w:color w:val="000000"/>
          <w:lang w:eastAsia="fr-FR"/>
        </w:rPr>
        <w:t>O</w:t>
      </w:r>
      <w:r w:rsidR="00B37C23">
        <w:t>, confirmed that salini</w:t>
      </w:r>
      <w:r w:rsidR="00A94833">
        <w:t>z</w:t>
      </w:r>
      <w:r w:rsidR="00B37C23">
        <w:t>ation is mainly due to water-rock interactions (ionic exchange reactions, dissolution of evaporitic salts).</w:t>
      </w:r>
    </w:p>
    <w:p w:rsidR="0064674C" w:rsidRDefault="00B37C23" w:rsidP="00DA16DB">
      <w:pPr>
        <w:numPr>
          <w:ilvl w:val="0"/>
          <w:numId w:val="35"/>
        </w:numPr>
        <w:ind w:left="284" w:hanging="284"/>
        <w:contextualSpacing/>
      </w:pPr>
      <w:r>
        <w:t xml:space="preserve">Samples enriched in </w:t>
      </w:r>
      <w:r w:rsidR="004C0EBA" w:rsidRPr="00223EB7">
        <w:rPr>
          <w:color w:val="000000"/>
          <w:lang w:eastAsia="fr-FR"/>
        </w:rPr>
        <w:t>δ</w:t>
      </w:r>
      <w:r w:rsidR="004C0EBA" w:rsidRPr="00223EB7">
        <w:rPr>
          <w:color w:val="000000"/>
          <w:vertAlign w:val="superscript"/>
          <w:lang w:eastAsia="fr-FR"/>
        </w:rPr>
        <w:t>18</w:t>
      </w:r>
      <w:r w:rsidR="004C0EBA" w:rsidRPr="00223EB7">
        <w:rPr>
          <w:color w:val="000000"/>
          <w:lang w:eastAsia="fr-FR"/>
        </w:rPr>
        <w:t>O</w:t>
      </w:r>
      <w:r>
        <w:t xml:space="preserve"> with a slight increase in Cl</w:t>
      </w:r>
      <w:r w:rsidRPr="00B62CB9">
        <w:rPr>
          <w:vertAlign w:val="superscript"/>
        </w:rPr>
        <w:t>-</w:t>
      </w:r>
      <w:r>
        <w:t>, presents a positive correlation between Cl</w:t>
      </w:r>
      <w:r w:rsidRPr="00B62CB9">
        <w:rPr>
          <w:vertAlign w:val="superscript"/>
        </w:rPr>
        <w:t>-</w:t>
      </w:r>
      <w:r>
        <w:t xml:space="preserve"> and </w:t>
      </w:r>
      <w:r w:rsidR="004C0EBA" w:rsidRPr="00223EB7">
        <w:rPr>
          <w:color w:val="000000"/>
          <w:lang w:eastAsia="fr-FR"/>
        </w:rPr>
        <w:t>δ</w:t>
      </w:r>
      <w:r w:rsidR="004C0EBA" w:rsidRPr="00223EB7">
        <w:rPr>
          <w:color w:val="000000"/>
          <w:vertAlign w:val="superscript"/>
          <w:lang w:eastAsia="fr-FR"/>
        </w:rPr>
        <w:t>18</w:t>
      </w:r>
      <w:r w:rsidR="004C0EBA" w:rsidRPr="00223EB7">
        <w:rPr>
          <w:color w:val="000000"/>
          <w:lang w:eastAsia="fr-FR"/>
        </w:rPr>
        <w:t>O</w:t>
      </w:r>
      <w:r>
        <w:t xml:space="preserve"> (R² = 0.626). Explain that the origin of salini</w:t>
      </w:r>
      <w:r w:rsidR="00A94833">
        <w:t>z</w:t>
      </w:r>
      <w:r>
        <w:t>ation is related to the concentration of th</w:t>
      </w:r>
      <w:r w:rsidR="0064674C">
        <w:t>e dissolved salts by evaporation</w:t>
      </w:r>
      <w:r w:rsidR="00A94833">
        <w:t>.</w:t>
      </w:r>
    </w:p>
    <w:p w:rsidR="006C6EC6" w:rsidRDefault="006C6EC6" w:rsidP="006C6EC6">
      <w:pPr>
        <w:contextualSpacing/>
      </w:pPr>
    </w:p>
    <w:p w:rsidR="006C6EC6" w:rsidRDefault="006C6EC6" w:rsidP="006C6EC6">
      <w:pPr>
        <w:contextualSpacing/>
      </w:pPr>
    </w:p>
    <w:p w:rsidR="006C6EC6" w:rsidRDefault="006C6EC6" w:rsidP="006C6EC6">
      <w:pPr>
        <w:contextualSpacing/>
      </w:pPr>
    </w:p>
    <w:p w:rsidR="006C6EC6" w:rsidRDefault="006C6EC6" w:rsidP="006C6EC6">
      <w:pPr>
        <w:contextualSpacing/>
      </w:pPr>
    </w:p>
    <w:p w:rsidR="006C6EC6" w:rsidRDefault="006C6EC6" w:rsidP="006C6EC6">
      <w:pPr>
        <w:contextualSpacing/>
      </w:pPr>
    </w:p>
    <w:p w:rsidR="006C6EC6" w:rsidRDefault="006C6EC6" w:rsidP="006C6EC6">
      <w:pPr>
        <w:contextualSpacing/>
      </w:pPr>
    </w:p>
    <w:p w:rsidR="006C6EC6" w:rsidRDefault="005F460B" w:rsidP="006C6EC6">
      <w:pPr>
        <w:contextualSpacing/>
      </w:pPr>
      <w:r>
        <w:rPr>
          <w:noProof/>
          <w:lang w:val="fr-FR" w:eastAsia="fr-FR"/>
        </w:rPr>
        <w:drawing>
          <wp:anchor distT="0" distB="0" distL="114300" distR="114300" simplePos="0" relativeHeight="251660800" behindDoc="0" locked="0" layoutInCell="1" allowOverlap="1">
            <wp:simplePos x="0" y="0"/>
            <wp:positionH relativeFrom="column">
              <wp:posOffset>312068</wp:posOffset>
            </wp:positionH>
            <wp:positionV relativeFrom="paragraph">
              <wp:posOffset>-210820</wp:posOffset>
            </wp:positionV>
            <wp:extent cx="2594327" cy="1285875"/>
            <wp:effectExtent l="3458" t="0" r="0" b="0"/>
            <wp:wrapNone/>
            <wp:docPr id="31" name="Obje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2743200"/>
                      <a:chOff x="0" y="0"/>
                      <a:chExt cx="4572000" cy="2743200"/>
                    </a:xfrm>
                  </a:grpSpPr>
                  <a:graphicFrame>
                    <a:nvGraphicFramePr>
                      <a:cNvPr id="14" name="Graphique 13"/>
                      <a:cNvGraphicFramePr/>
                    </a:nvGraphicFramePr>
                    <a:graphic>
                      <a:graphicData uri="http://schemas.openxmlformats.org/drawingml/2006/chart">
                        <c:chart xmlns:c="http://schemas.openxmlformats.org/drawingml/2006/chart" xmlns:r="http://schemas.openxmlformats.org/officeDocument/2006/relationships" r:id="rId19"/>
                      </a:graphicData>
                    </a:graphic>
                    <a:xfrm>
                      <a:off x="0" y="0"/>
                      <a:ext cx="4572000" cy="2743200"/>
                    </a:xfrm>
                  </a:graphicFrame>
                  <a:sp>
                    <a:nvSpPr>
                      <a:cNvPr id="15" name="Flèche droite 14"/>
                      <a:cNvSpPr/>
                    </a:nvSpPr>
                    <a:spPr>
                      <a:xfrm rot="18526263">
                        <a:off x="2916008" y="917955"/>
                        <a:ext cx="1053493" cy="282384"/>
                      </a:xfrm>
                      <a:prstGeom prst="rightArrow">
                        <a:avLst/>
                      </a:prstGeom>
                      <a:solidFill>
                        <a:srgbClr val="FFFF99"/>
                      </a:solidFill>
                      <a:ln w="12700">
                        <a:solidFill>
                          <a:sysClr val="windowText" lastClr="000000"/>
                        </a:solidFill>
                      </a:ln>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fr-FR"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ZoneTexte 15"/>
                      <a:cNvSpPr txBox="1"/>
                    </a:nvSpPr>
                    <a:spPr>
                      <a:xfrm rot="18560700">
                        <a:off x="2932805" y="960175"/>
                        <a:ext cx="937581" cy="264560"/>
                      </a:xfrm>
                      <a:prstGeom prst="rect">
                        <a:avLst/>
                      </a:prstGeom>
                      <a:noFill/>
                    </a:spPr>
                    <a:txSp>
                      <a:txBody>
                        <a:bodyPr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1100" b="1"/>
                            <a:t>Evaporation</a:t>
                          </a:r>
                        </a:p>
                      </a:txBody>
                      <a:useSpRect/>
                    </a:txSp>
                    <a:style>
                      <a:lnRef idx="0">
                        <a:scrgbClr r="0" g="0" b="0"/>
                      </a:lnRef>
                      <a:fillRef idx="0">
                        <a:scrgbClr r="0" g="0" b="0"/>
                      </a:fillRef>
                      <a:effectRef idx="0">
                        <a:scrgbClr r="0" g="0" b="0"/>
                      </a:effectRef>
                      <a:fontRef idx="minor">
                        <a:schemeClr val="tx1"/>
                      </a:fontRef>
                    </a:style>
                  </a:sp>
                  <a:sp>
                    <a:nvSpPr>
                      <a:cNvPr id="17" name="ZoneTexte 16"/>
                      <a:cNvSpPr txBox="1"/>
                    </a:nvSpPr>
                    <a:spPr>
                      <a:xfrm rot="20405390">
                        <a:off x="857250" y="1685925"/>
                        <a:ext cx="561372" cy="436786"/>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r>
                            <a:rPr lang="fr-FR" sz="1050" b="1"/>
                            <a:t>Fresh</a:t>
                          </a:r>
                        </a:p>
                        <a:p>
                          <a:pPr algn="ctr"/>
                          <a:r>
                            <a:rPr lang="fr-FR" sz="1050" b="1" baseline="0"/>
                            <a:t> water</a:t>
                          </a:r>
                          <a:endParaRPr lang="fr-FR" sz="1050" b="1"/>
                        </a:p>
                      </a:txBody>
                      <a:useSpRect/>
                    </a:txSp>
                    <a:style>
                      <a:lnRef idx="0">
                        <a:scrgbClr r="0" g="0" b="0"/>
                      </a:lnRef>
                      <a:fillRef idx="0">
                        <a:scrgbClr r="0" g="0" b="0"/>
                      </a:fillRef>
                      <a:effectRef idx="0">
                        <a:scrgbClr r="0" g="0" b="0"/>
                      </a:effectRef>
                      <a:fontRef idx="minor">
                        <a:schemeClr val="tx1"/>
                      </a:fontRef>
                    </a:style>
                  </a:sp>
                  <a:sp>
                    <a:nvSpPr>
                      <a:cNvPr id="22" name="ZoneTexte 21"/>
                      <a:cNvSpPr txBox="1"/>
                    </a:nvSpPr>
                    <a:spPr>
                      <a:xfrm>
                        <a:off x="1981200" y="647700"/>
                        <a:ext cx="809625" cy="374077"/>
                      </a:xfrm>
                      <a:prstGeom prst="rect">
                        <a:avLst/>
                      </a:prstGeom>
                      <a:noFill/>
                    </a:spPr>
                    <a:txSp>
                      <a:txBody>
                        <a:bodyPr wrap="squar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900" b="1"/>
                            <a:t>Dissollution</a:t>
                          </a:r>
                        </a:p>
                        <a:p>
                          <a:pPr algn="ctr"/>
                          <a:r>
                            <a:rPr lang="fr-FR" sz="900" b="1"/>
                            <a:t> effect</a:t>
                          </a:r>
                        </a:p>
                      </a:txBody>
                      <a:useSpRect/>
                    </a:txSp>
                    <a:style>
                      <a:lnRef idx="0">
                        <a:scrgbClr r="0" g="0" b="0"/>
                      </a:lnRef>
                      <a:fillRef idx="0">
                        <a:scrgbClr r="0" g="0" b="0"/>
                      </a:fillRef>
                      <a:effectRef idx="0">
                        <a:scrgbClr r="0" g="0" b="0"/>
                      </a:effectRef>
                      <a:fontRef idx="minor">
                        <a:schemeClr val="tx1"/>
                      </a:fontRef>
                    </a:style>
                  </a:sp>
                  <a:cxnSp>
                    <a:nvCxnSpPr>
                      <a:cNvPr id="26" name="Connecteur droit 25"/>
                      <a:cNvCxnSpPr/>
                    </a:nvCxnSpPr>
                    <a:spPr>
                      <a:xfrm rot="5400000">
                        <a:off x="1323977" y="1428748"/>
                        <a:ext cx="1457325" cy="9529"/>
                      </a:xfrm>
                      <a:prstGeom prst="line">
                        <a:avLst/>
                      </a:prstGeom>
                      <a:ln w="19050">
                        <a:solidFill>
                          <a:sysClr val="windowText" lastClr="000000"/>
                        </a:solidFill>
                        <a:prstDash val="sysDash"/>
                      </a:ln>
                    </a:spPr>
                    <a:style>
                      <a:lnRef idx="1">
                        <a:schemeClr val="accent1"/>
                      </a:lnRef>
                      <a:fillRef idx="0">
                        <a:schemeClr val="accent1"/>
                      </a:fillRef>
                      <a:effectRef idx="0">
                        <a:schemeClr val="accent1"/>
                      </a:effectRef>
                      <a:fontRef idx="minor">
                        <a:schemeClr val="tx1"/>
                      </a:fontRef>
                    </a:style>
                  </a:cxnSp>
                  <a:cxnSp>
                    <a:nvCxnSpPr>
                      <a:cNvPr id="29" name="Connecteur droit 28"/>
                      <a:cNvCxnSpPr/>
                    </a:nvCxnSpPr>
                    <a:spPr>
                      <a:xfrm rot="5400000">
                        <a:off x="1885952" y="1457323"/>
                        <a:ext cx="1457325" cy="9529"/>
                      </a:xfrm>
                      <a:prstGeom prst="line">
                        <a:avLst/>
                      </a:prstGeom>
                      <a:ln w="19050">
                        <a:solidFill>
                          <a:sysClr val="windowText" lastClr="000000"/>
                        </a:solidFill>
                        <a:prstDash val="sysDash"/>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6C6EC6" w:rsidRDefault="006C6EC6" w:rsidP="006C6EC6">
      <w:pPr>
        <w:contextualSpacing/>
      </w:pPr>
    </w:p>
    <w:p w:rsidR="006C6EC6" w:rsidRDefault="006C6EC6" w:rsidP="006C6EC6">
      <w:pPr>
        <w:contextualSpacing/>
      </w:pPr>
    </w:p>
    <w:p w:rsidR="001D5D6F" w:rsidRDefault="001D5D6F" w:rsidP="006C6EC6">
      <w:pPr>
        <w:contextualSpacing/>
        <w:jc w:val="center"/>
        <w:rPr>
          <w:b/>
          <w:sz w:val="18"/>
          <w:szCs w:val="18"/>
        </w:rPr>
      </w:pPr>
    </w:p>
    <w:p w:rsidR="00F64A6C" w:rsidRDefault="00F64A6C" w:rsidP="006C6EC6">
      <w:pPr>
        <w:contextualSpacing/>
        <w:jc w:val="center"/>
        <w:rPr>
          <w:b/>
          <w:sz w:val="18"/>
          <w:szCs w:val="18"/>
        </w:rPr>
      </w:pPr>
    </w:p>
    <w:p w:rsidR="00F64A6C" w:rsidRDefault="00F64A6C" w:rsidP="006C6EC6">
      <w:pPr>
        <w:contextualSpacing/>
        <w:jc w:val="center"/>
        <w:rPr>
          <w:b/>
          <w:sz w:val="18"/>
          <w:szCs w:val="18"/>
        </w:rPr>
      </w:pPr>
    </w:p>
    <w:p w:rsidR="00F64A6C" w:rsidRDefault="00F64A6C" w:rsidP="006C6EC6">
      <w:pPr>
        <w:contextualSpacing/>
        <w:jc w:val="center"/>
        <w:rPr>
          <w:b/>
          <w:sz w:val="18"/>
          <w:szCs w:val="18"/>
        </w:rPr>
      </w:pPr>
    </w:p>
    <w:p w:rsidR="00F64A6C" w:rsidRDefault="00F64A6C" w:rsidP="006C6EC6">
      <w:pPr>
        <w:contextualSpacing/>
        <w:jc w:val="center"/>
        <w:rPr>
          <w:b/>
          <w:sz w:val="18"/>
          <w:szCs w:val="18"/>
        </w:rPr>
      </w:pPr>
    </w:p>
    <w:p w:rsidR="0064674C" w:rsidRPr="006C6EC6" w:rsidRDefault="006C6EC6" w:rsidP="006C6EC6">
      <w:pPr>
        <w:contextualSpacing/>
        <w:jc w:val="center"/>
        <w:rPr>
          <w:b/>
          <w:sz w:val="18"/>
          <w:szCs w:val="18"/>
          <w:lang w:val="fr-FR"/>
        </w:rPr>
      </w:pPr>
      <w:r>
        <w:rPr>
          <w:b/>
          <w:sz w:val="18"/>
          <w:szCs w:val="18"/>
        </w:rPr>
        <w:t>Figure 6</w:t>
      </w:r>
      <w:r w:rsidR="0064674C" w:rsidRPr="00DE0095">
        <w:rPr>
          <w:b/>
          <w:sz w:val="18"/>
          <w:szCs w:val="18"/>
        </w:rPr>
        <w:t xml:space="preserve">. </w:t>
      </w:r>
      <w:r w:rsidR="00DE0095" w:rsidRPr="00DE0095">
        <w:rPr>
          <w:b/>
          <w:sz w:val="18"/>
          <w:szCs w:val="18"/>
        </w:rPr>
        <w:t>Chlorinity and stable isotopic composition for the p</w:t>
      </w:r>
      <w:r w:rsidR="00DE0095">
        <w:rPr>
          <w:b/>
          <w:sz w:val="18"/>
          <w:szCs w:val="18"/>
        </w:rPr>
        <w:t>lain of Sminja</w:t>
      </w:r>
    </w:p>
    <w:p w:rsidR="0064674C" w:rsidRDefault="0064674C" w:rsidP="001C67C2">
      <w:pPr>
        <w:pStyle w:val="Titre1"/>
        <w:contextualSpacing/>
      </w:pPr>
      <w:r>
        <w:t>Conclusion</w:t>
      </w:r>
    </w:p>
    <w:p w:rsidR="006B5D6C" w:rsidRDefault="000D6DC1" w:rsidP="00A94833">
      <w:pPr>
        <w:autoSpaceDE w:val="0"/>
        <w:autoSpaceDN w:val="0"/>
        <w:adjustRightInd w:val="0"/>
        <w:spacing w:after="0"/>
        <w:contextualSpacing/>
        <w:rPr>
          <w:rFonts w:eastAsia="Calibri"/>
        </w:rPr>
      </w:pPr>
      <w:r w:rsidRPr="00C21855">
        <w:t xml:space="preserve">The present study examined </w:t>
      </w:r>
      <w:r w:rsidRPr="00C21855">
        <w:rPr>
          <w:color w:val="231F20"/>
        </w:rPr>
        <w:t xml:space="preserve">the </w:t>
      </w:r>
      <w:r w:rsidRPr="00C21855">
        <w:t>results of geophysical survey,</w:t>
      </w:r>
      <w:r w:rsidRPr="00C21855">
        <w:rPr>
          <w:color w:val="231F20"/>
        </w:rPr>
        <w:t xml:space="preserve"> hydrogeochemical</w:t>
      </w:r>
      <w:r w:rsidRPr="00C21855">
        <w:t xml:space="preserve"> characteristics </w:t>
      </w:r>
      <w:r w:rsidRPr="00C21855">
        <w:rPr>
          <w:color w:val="231F20"/>
        </w:rPr>
        <w:t xml:space="preserve">and isotopic composition of groundwater and surface water in the plain of Sminja, Zaghouan prefecture, semi arid region in northeastern Tunisia. </w:t>
      </w:r>
      <w:r w:rsidRPr="00C21855">
        <w:t xml:space="preserve">The combination of the results of these tools indicates that </w:t>
      </w:r>
      <w:r w:rsidRPr="00C21855">
        <w:rPr>
          <w:color w:val="231F20"/>
        </w:rPr>
        <w:t>water minerali</w:t>
      </w:r>
      <w:r w:rsidR="00A94833">
        <w:rPr>
          <w:color w:val="231F20"/>
        </w:rPr>
        <w:t>z</w:t>
      </w:r>
      <w:r w:rsidRPr="00C21855">
        <w:rPr>
          <w:color w:val="231F20"/>
        </w:rPr>
        <w:t xml:space="preserve">ation in the study area is not a homogenous process, but is related to different sources and dynamics with variation in space. </w:t>
      </w:r>
      <w:r w:rsidRPr="00C21855">
        <w:t>Geochemical result</w:t>
      </w:r>
      <w:r w:rsidR="006B5D6C">
        <w:t>s</w:t>
      </w:r>
      <w:r w:rsidR="00B77C60">
        <w:t xml:space="preserve"> show that water sample </w:t>
      </w:r>
      <w:r w:rsidR="00A94833">
        <w:t>taken from</w:t>
      </w:r>
      <w:r w:rsidR="00B77C60">
        <w:t xml:space="preserve"> Sminja </w:t>
      </w:r>
      <w:r w:rsidR="00A94833">
        <w:t xml:space="preserve">plain </w:t>
      </w:r>
      <w:r w:rsidR="00B77C60">
        <w:t>are divided into</w:t>
      </w:r>
      <w:r w:rsidRPr="00C21855">
        <w:t xml:space="preserve"> Ca-Mg-HCO</w:t>
      </w:r>
      <w:r w:rsidRPr="00C21855">
        <w:rPr>
          <w:vertAlign w:val="subscript"/>
        </w:rPr>
        <w:t>3</w:t>
      </w:r>
      <w:r w:rsidRPr="00C21855">
        <w:t>, Ca-Cl-SO</w:t>
      </w:r>
      <w:r w:rsidRPr="00A94833">
        <w:rPr>
          <w:vertAlign w:val="subscript"/>
        </w:rPr>
        <w:t>4</w:t>
      </w:r>
      <w:r w:rsidRPr="00C21855">
        <w:t>-NO</w:t>
      </w:r>
      <w:r w:rsidRPr="00C21855">
        <w:rPr>
          <w:vertAlign w:val="subscript"/>
        </w:rPr>
        <w:t xml:space="preserve">3 </w:t>
      </w:r>
      <w:r w:rsidRPr="00C21855">
        <w:t>and Na-Cl</w:t>
      </w:r>
      <w:r w:rsidR="00B77C60">
        <w:t xml:space="preserve"> types</w:t>
      </w:r>
      <w:r w:rsidR="006B5D6C">
        <w:t>,</w:t>
      </w:r>
      <w:r w:rsidR="006B5D6C" w:rsidRPr="002D6661">
        <w:t xml:space="preserve"> </w:t>
      </w:r>
      <w:r w:rsidR="006B5D6C" w:rsidRPr="002D6661">
        <w:rPr>
          <w:rFonts w:eastAsia="Calibri"/>
        </w:rPr>
        <w:t>sug</w:t>
      </w:r>
      <w:r w:rsidR="006B5D6C">
        <w:rPr>
          <w:rFonts w:eastAsia="Calibri"/>
        </w:rPr>
        <w:t>gesting</w:t>
      </w:r>
      <w:r w:rsidR="006B5D6C" w:rsidRPr="002D6661">
        <w:rPr>
          <w:rFonts w:eastAsia="Calibri"/>
        </w:rPr>
        <w:t xml:space="preserve"> that </w:t>
      </w:r>
      <w:r w:rsidR="006B5D6C">
        <w:rPr>
          <w:rFonts w:eastAsia="Calibri"/>
        </w:rPr>
        <w:t>groundwater</w:t>
      </w:r>
      <w:r w:rsidR="006B5D6C" w:rsidRPr="002D6661">
        <w:rPr>
          <w:rFonts w:eastAsia="Calibri"/>
        </w:rPr>
        <w:t xml:space="preserve"> minerali</w:t>
      </w:r>
      <w:r w:rsidR="00A94833">
        <w:rPr>
          <w:rFonts w:eastAsia="Calibri"/>
        </w:rPr>
        <w:t>z</w:t>
      </w:r>
      <w:r w:rsidR="006B5D6C" w:rsidRPr="002D6661">
        <w:rPr>
          <w:rFonts w:eastAsia="Calibri"/>
        </w:rPr>
        <w:t>ation is mainly controlled</w:t>
      </w:r>
      <w:r w:rsidR="006B5D6C" w:rsidRPr="002D6661">
        <w:t xml:space="preserve"> </w:t>
      </w:r>
      <w:r w:rsidR="006B5D6C" w:rsidRPr="002D6661">
        <w:rPr>
          <w:rFonts w:eastAsia="Calibri"/>
        </w:rPr>
        <w:t>by water-rock interactions represented by the dissolution of evaporate, dedolomiti</w:t>
      </w:r>
      <w:r w:rsidR="00A94833">
        <w:rPr>
          <w:rFonts w:eastAsia="Calibri"/>
        </w:rPr>
        <w:t>z</w:t>
      </w:r>
      <w:r w:rsidR="006B5D6C" w:rsidRPr="002D6661">
        <w:rPr>
          <w:rFonts w:eastAsia="Calibri"/>
        </w:rPr>
        <w:t>ation, and cation-exchange.</w:t>
      </w:r>
      <w:r w:rsidR="006B5D6C">
        <w:rPr>
          <w:rFonts w:eastAsia="Calibri"/>
        </w:rPr>
        <w:t xml:space="preserve"> </w:t>
      </w:r>
      <w:r w:rsidR="006B5D6C" w:rsidRPr="00CD7DF7">
        <w:rPr>
          <w:rFonts w:eastAsia="Calibri"/>
        </w:rPr>
        <w:t xml:space="preserve">Nevertheless, anthropogenic processes related to agricultural practices also play an important role in the salinization </w:t>
      </w:r>
      <w:r w:rsidR="006B5D6C">
        <w:rPr>
          <w:rFonts w:eastAsia="Calibri"/>
        </w:rPr>
        <w:t>evolution</w:t>
      </w:r>
      <w:r w:rsidR="006B5D6C" w:rsidRPr="00CD7DF7">
        <w:rPr>
          <w:rFonts w:eastAsia="Calibri"/>
        </w:rPr>
        <w:t>.</w:t>
      </w:r>
      <w:r w:rsidR="006B5D6C">
        <w:rPr>
          <w:rFonts w:eastAsia="Calibri"/>
        </w:rPr>
        <w:t xml:space="preserve"> </w:t>
      </w:r>
      <w:r w:rsidR="00CB38D3" w:rsidRPr="00CB38D3">
        <w:rPr>
          <w:rFonts w:eastAsia="Calibri"/>
        </w:rPr>
        <w:t>Stable isotope signatures confirmed the existen</w:t>
      </w:r>
      <w:r w:rsidR="00CB38D3">
        <w:rPr>
          <w:rFonts w:eastAsia="Calibri"/>
        </w:rPr>
        <w:t xml:space="preserve">ce of non-evaporated waters, </w:t>
      </w:r>
      <w:r w:rsidR="00CB38D3" w:rsidRPr="00CB38D3">
        <w:rPr>
          <w:rFonts w:eastAsia="Calibri"/>
        </w:rPr>
        <w:t>related to direct infiltration of meteoric water, and evaporated water, assumed to water-rock interaction and return flow of irrigation water</w:t>
      </w:r>
      <w:r w:rsidR="00CB38D3">
        <w:rPr>
          <w:rFonts w:eastAsia="Calibri"/>
        </w:rPr>
        <w:t>.</w:t>
      </w:r>
      <w:r w:rsidR="00EB754B">
        <w:rPr>
          <w:rFonts w:eastAsia="Calibri"/>
        </w:rPr>
        <w:t xml:space="preserve"> </w:t>
      </w:r>
      <w:r w:rsidR="00CE2F01" w:rsidRPr="00CE2F01">
        <w:rPr>
          <w:rFonts w:eastAsia="Calibri"/>
        </w:rPr>
        <w:t xml:space="preserve">The results of this study make clear that water of the plain of Sminja are contaminated, so monitoring is important for understanding salinity </w:t>
      </w:r>
      <w:r w:rsidR="00A94833">
        <w:rPr>
          <w:rFonts w:eastAsia="Calibri"/>
        </w:rPr>
        <w:t>increase</w:t>
      </w:r>
      <w:r w:rsidR="00CE2F01" w:rsidRPr="00CE2F01">
        <w:rPr>
          <w:rFonts w:eastAsia="Calibri"/>
        </w:rPr>
        <w:t xml:space="preserve">. </w:t>
      </w:r>
      <w:r w:rsidR="00A94833">
        <w:rPr>
          <w:rFonts w:eastAsia="Calibri"/>
        </w:rPr>
        <w:t>Furthermore</w:t>
      </w:r>
      <w:r w:rsidR="00A94833" w:rsidRPr="00CE2F01">
        <w:rPr>
          <w:rFonts w:eastAsia="Calibri"/>
        </w:rPr>
        <w:t>,</w:t>
      </w:r>
      <w:r w:rsidR="00A94833">
        <w:rPr>
          <w:rFonts w:eastAsia="Calibri"/>
        </w:rPr>
        <w:t xml:space="preserve"> </w:t>
      </w:r>
      <w:r w:rsidR="00CE2F01" w:rsidRPr="00CE2F01">
        <w:rPr>
          <w:rFonts w:eastAsia="Calibri"/>
        </w:rPr>
        <w:t>understanding the environmental consequences of agricultural practices is essential to minimize unexpected problems</w:t>
      </w:r>
      <w:r w:rsidR="00A94833">
        <w:rPr>
          <w:rFonts w:eastAsia="Calibri"/>
        </w:rPr>
        <w:t xml:space="preserve"> and ensuring the sustainable use of water resources of the region.</w:t>
      </w:r>
    </w:p>
    <w:p w:rsidR="00B65CB0" w:rsidRDefault="00B65CB0" w:rsidP="001C67C2">
      <w:pPr>
        <w:pStyle w:val="Titre1"/>
        <w:contextualSpacing/>
        <w:rPr>
          <w:rFonts w:ascii="Times New Roman" w:hAnsi="Times New Roman"/>
          <w:sz w:val="20"/>
        </w:rPr>
      </w:pPr>
      <w:r w:rsidRPr="00B65CB0">
        <w:rPr>
          <w:rFonts w:ascii="Times New Roman" w:hAnsi="Times New Roman"/>
          <w:sz w:val="20"/>
        </w:rPr>
        <w:t>REFERENCES</w:t>
      </w:r>
    </w:p>
    <w:p w:rsidR="00A47254"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65CB0">
        <w:rPr>
          <w:rFonts w:ascii="Times New Roman" w:hAnsi="Times New Roman" w:cs="Times New Roman"/>
          <w:sz w:val="20"/>
          <w:szCs w:val="20"/>
          <w:lang w:val="en-US"/>
        </w:rPr>
        <w:t>Appelo C.A.J. and Postma D. (2005) - Géochemistry, Groundwater and pollution. 2</w:t>
      </w:r>
      <w:r w:rsidRPr="00B65CB0">
        <w:rPr>
          <w:rFonts w:ascii="Times New Roman" w:hAnsi="Times New Roman" w:cs="Times New Roman"/>
          <w:sz w:val="20"/>
          <w:szCs w:val="20"/>
          <w:vertAlign w:val="superscript"/>
          <w:lang w:val="en-US"/>
        </w:rPr>
        <w:t>nd</w:t>
      </w:r>
      <w:r w:rsidRPr="00B65CB0">
        <w:rPr>
          <w:rFonts w:ascii="Times New Roman" w:hAnsi="Times New Roman" w:cs="Times New Roman"/>
          <w:sz w:val="20"/>
          <w:szCs w:val="20"/>
          <w:lang w:val="en-US"/>
        </w:rPr>
        <w:t xml:space="preserve"> eds. Amesterdam, the Nertherlands: A.A.Balkema Publishers.</w:t>
      </w:r>
    </w:p>
    <w:p w:rsidR="00A47254"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65CB0">
        <w:rPr>
          <w:rFonts w:ascii="Times New Roman" w:hAnsi="Times New Roman" w:cs="Times New Roman"/>
          <w:sz w:val="20"/>
          <w:szCs w:val="20"/>
        </w:rPr>
        <w:t xml:space="preserve">Banner, J.L., et al., 1989. </w:t>
      </w:r>
      <w:r w:rsidRPr="00B65CB0">
        <w:rPr>
          <w:rFonts w:ascii="Times New Roman" w:hAnsi="Times New Roman" w:cs="Times New Roman"/>
          <w:sz w:val="20"/>
          <w:szCs w:val="20"/>
          <w:lang w:val="en-US"/>
        </w:rPr>
        <w:t>Isotopic and trace-element constraints on the origin and evolution of saline groundwaters from central Missouri. Geochimica et Cosmochimica Acta, 53, 383-398. doi : 10.1016/0016-7037(89)90390-6.</w:t>
      </w:r>
    </w:p>
    <w:p w:rsidR="00A47254" w:rsidRPr="00A47254"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72B75">
        <w:rPr>
          <w:rFonts w:ascii="Times New Roman" w:eastAsia="Times New Roman" w:hAnsi="Times New Roman" w:cs="Times New Roman"/>
          <w:sz w:val="20"/>
          <w:szCs w:val="20"/>
          <w:lang w:eastAsia="fr-FR"/>
        </w:rPr>
        <w:t xml:space="preserve">Ben Moussa, A., et al., 2010. </w:t>
      </w:r>
      <w:r w:rsidRPr="00B72B75">
        <w:rPr>
          <w:rFonts w:ascii="Times New Roman" w:eastAsia="Times New Roman" w:hAnsi="Times New Roman" w:cs="Times New Roman"/>
          <w:sz w:val="20"/>
          <w:szCs w:val="20"/>
          <w:lang w:val="en-US" w:eastAsia="fr-FR"/>
        </w:rPr>
        <w:t>Hydrochimical and isotopic investigation of the groundwater composition of an alluvial aquifer, Cap Bon Peninsula, Tunisia. Carbonates Evaporates, 25 (3), 11.161-176.</w:t>
      </w:r>
    </w:p>
    <w:p w:rsidR="00A47254" w:rsidRPr="00B72B75" w:rsidRDefault="00A47254" w:rsidP="001C67C2">
      <w:pPr>
        <w:pStyle w:val="Paragraphedeliste"/>
        <w:numPr>
          <w:ilvl w:val="0"/>
          <w:numId w:val="22"/>
        </w:numPr>
        <w:autoSpaceDE w:val="0"/>
        <w:autoSpaceDN w:val="0"/>
        <w:adjustRightInd w:val="0"/>
        <w:spacing w:after="0" w:line="240" w:lineRule="auto"/>
        <w:jc w:val="both"/>
        <w:rPr>
          <w:rFonts w:ascii="Times New Roman" w:hAnsi="Times New Roman" w:cs="Times New Roman"/>
          <w:sz w:val="20"/>
          <w:szCs w:val="20"/>
          <w:lang w:val="en-US"/>
        </w:rPr>
      </w:pPr>
      <w:r w:rsidRPr="00B72B75">
        <w:rPr>
          <w:rFonts w:ascii="Times New Roman" w:hAnsi="Times New Roman" w:cs="Times New Roman"/>
          <w:sz w:val="20"/>
          <w:szCs w:val="20"/>
          <w:lang w:val="en-US"/>
        </w:rPr>
        <w:t>Cardona, A., Carrillo-Rivera, J., Huizar-Alvarez, R. and Garniel-Castro, E., 2004. Salinization in coastal aquifers of arid zones: an example from Santo Domingo, Baja California Sur, Mexico.Environmental Geology, 45: 350-366.</w:t>
      </w:r>
    </w:p>
    <w:p w:rsidR="00A47254" w:rsidRPr="00A47254"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A47254">
        <w:rPr>
          <w:rFonts w:ascii="Times New Roman" w:hAnsi="Times New Roman" w:cs="Times New Roman"/>
          <w:sz w:val="20"/>
          <w:szCs w:val="20"/>
          <w:lang w:val="en-US"/>
        </w:rPr>
        <w:t>Chekirbane, A., Tsujimura, M., Kawchi, A., Isoda, H., Tarhouni, J., Benalaya, A., 2013. Hydrgeochemistry and groundwater salinization in an ephemeral coastal flood plain: Cap Bon, Tunisia. Hydrological Sciences Journal, 58 (5), 1097 – 1110.</w:t>
      </w:r>
    </w:p>
    <w:p w:rsidR="00A47254" w:rsidRPr="00B72B75"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72B75">
        <w:rPr>
          <w:rFonts w:ascii="Times New Roman" w:eastAsia="Times New Roman" w:hAnsi="Times New Roman" w:cs="Times New Roman"/>
          <w:sz w:val="20"/>
          <w:szCs w:val="20"/>
          <w:lang w:val="en-US" w:eastAsia="fr-FR"/>
        </w:rPr>
        <w:t>Craig, H., 1961. Isotopic variations in meteoric waters. Science, 133, 1702-1703.</w:t>
      </w:r>
    </w:p>
    <w:p w:rsidR="00A47254" w:rsidRPr="00B65CB0"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65CB0">
        <w:rPr>
          <w:rFonts w:ascii="Times New Roman" w:hAnsi="Times New Roman" w:cs="Times New Roman"/>
          <w:sz w:val="20"/>
          <w:szCs w:val="20"/>
          <w:lang w:val="en-US"/>
        </w:rPr>
        <w:t>Dixon, W. and Chiswell, B., 1992. The use of hydrochemical sections to identify recharge areas and saline intrusions in alluvial aquifers, southeast Queensland, Australia. Journal of Hydrology, 130, 299-338.</w:t>
      </w:r>
    </w:p>
    <w:p w:rsidR="00A47254" w:rsidRPr="00B72B75"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72B75">
        <w:rPr>
          <w:rFonts w:ascii="Times New Roman" w:hAnsi="Times New Roman" w:cs="Times New Roman"/>
          <w:sz w:val="20"/>
          <w:szCs w:val="20"/>
          <w:lang w:val="en-US"/>
        </w:rPr>
        <w:t>Duda, A.M., 1993. Addressing non-point sources of water pollution must become a national priority. Water Science and Technology 28, 1-11.</w:t>
      </w:r>
    </w:p>
    <w:p w:rsidR="00A47254" w:rsidRPr="00B72B75" w:rsidRDefault="00A47254" w:rsidP="001C67C2">
      <w:pPr>
        <w:pStyle w:val="Paragraphedeliste"/>
        <w:numPr>
          <w:ilvl w:val="0"/>
          <w:numId w:val="22"/>
        </w:numPr>
        <w:autoSpaceDE w:val="0"/>
        <w:autoSpaceDN w:val="0"/>
        <w:adjustRightInd w:val="0"/>
        <w:spacing w:after="0" w:line="240" w:lineRule="auto"/>
        <w:jc w:val="both"/>
        <w:rPr>
          <w:rFonts w:ascii="Times New Roman" w:hAnsi="Times New Roman" w:cs="Times New Roman"/>
          <w:sz w:val="20"/>
          <w:szCs w:val="20"/>
          <w:lang w:val="en-US"/>
        </w:rPr>
      </w:pPr>
      <w:r w:rsidRPr="00B72B75">
        <w:rPr>
          <w:rFonts w:ascii="Times New Roman" w:hAnsi="Times New Roman" w:cs="Times New Roman"/>
          <w:sz w:val="20"/>
          <w:szCs w:val="20"/>
        </w:rPr>
        <w:t>Fakir, Y., et al., 2001. Exploitation et salinité des aquifères de Chaouia côtière, littoral atlantique, Maroc. Journal of African Earth Science, 32, 791–801.</w:t>
      </w:r>
    </w:p>
    <w:p w:rsidR="00A47254" w:rsidRPr="00B72B75"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65CB0">
        <w:rPr>
          <w:rFonts w:ascii="Times New Roman" w:eastAsia="Times New Roman" w:hAnsi="Times New Roman" w:cs="Times New Roman"/>
          <w:sz w:val="20"/>
          <w:szCs w:val="20"/>
          <w:lang w:val="en-US" w:eastAsia="fr-FR"/>
        </w:rPr>
        <w:t>Grünberger, O., Montoroi, J.P., and nasri, S., 2004. Quantification of water exchange between a hill reservoir and groundwater using hydrological and isotopic</w:t>
      </w:r>
      <w:r w:rsidRPr="0020187F">
        <w:rPr>
          <w:rFonts w:ascii="Times New Roman" w:eastAsia="Times New Roman" w:hAnsi="Times New Roman" w:cs="Times New Roman"/>
          <w:sz w:val="20"/>
          <w:szCs w:val="20"/>
          <w:lang w:val="en-US" w:eastAsia="fr-FR"/>
        </w:rPr>
        <w:t xml:space="preserve"> </w:t>
      </w:r>
      <w:r w:rsidRPr="00B72B75">
        <w:rPr>
          <w:rFonts w:ascii="Times New Roman" w:eastAsia="Times New Roman" w:hAnsi="Times New Roman" w:cs="Times New Roman"/>
          <w:sz w:val="20"/>
          <w:szCs w:val="20"/>
          <w:lang w:val="en-US" w:eastAsia="fr-FR"/>
        </w:rPr>
        <w:t>modeling (El Gouazine, Tunisia).Comptes rendus Geoscience, 336, 1453-1462. doi: 10.1016/j. erte.2004.08.006.</w:t>
      </w:r>
    </w:p>
    <w:p w:rsidR="00A47254" w:rsidRPr="00B72B75" w:rsidRDefault="00A47254" w:rsidP="001C67C2">
      <w:pPr>
        <w:pStyle w:val="Paragraphedeliste"/>
        <w:numPr>
          <w:ilvl w:val="0"/>
          <w:numId w:val="22"/>
        </w:numPr>
        <w:spacing w:line="240" w:lineRule="auto"/>
        <w:jc w:val="both"/>
        <w:rPr>
          <w:rFonts w:ascii="Times New Roman" w:hAnsi="Times New Roman" w:cs="Times New Roman"/>
          <w:sz w:val="20"/>
          <w:szCs w:val="20"/>
        </w:rPr>
      </w:pPr>
      <w:r w:rsidRPr="00B72B75">
        <w:rPr>
          <w:rFonts w:ascii="Times New Roman" w:eastAsia="Times New Roman" w:hAnsi="Times New Roman" w:cs="Times New Roman"/>
          <w:sz w:val="20"/>
          <w:szCs w:val="20"/>
          <w:lang w:eastAsia="fr-FR"/>
        </w:rPr>
        <w:t>Khanfir R. (1988) – Etude des eaux souterraines de la plaine de Sminja. Rapport D.G.R.E.</w:t>
      </w:r>
    </w:p>
    <w:p w:rsidR="00A47254" w:rsidRPr="00B72B75" w:rsidRDefault="00A47254" w:rsidP="001C67C2">
      <w:pPr>
        <w:pStyle w:val="Paragraphedeliste"/>
        <w:numPr>
          <w:ilvl w:val="0"/>
          <w:numId w:val="22"/>
        </w:numPr>
        <w:autoSpaceDE w:val="0"/>
        <w:autoSpaceDN w:val="0"/>
        <w:adjustRightInd w:val="0"/>
        <w:spacing w:after="0" w:line="240" w:lineRule="auto"/>
        <w:jc w:val="both"/>
        <w:rPr>
          <w:rFonts w:ascii="Times New Roman" w:hAnsi="Times New Roman" w:cs="Times New Roman"/>
          <w:sz w:val="20"/>
          <w:szCs w:val="20"/>
          <w:lang w:val="en-US"/>
        </w:rPr>
      </w:pPr>
      <w:r w:rsidRPr="00B72B75">
        <w:rPr>
          <w:rFonts w:ascii="Times New Roman" w:hAnsi="Times New Roman" w:cs="Times New Roman"/>
          <w:sz w:val="20"/>
          <w:szCs w:val="20"/>
          <w:lang w:val="en-US"/>
        </w:rPr>
        <w:t>Kim et al., 2003. Hydrogeochemical characterization of major factors affecting the quality of shallow groundwater in the coastal area at Kimje in South Korea.</w:t>
      </w:r>
    </w:p>
    <w:p w:rsidR="00A47254" w:rsidRPr="00B72B75" w:rsidRDefault="00A47254" w:rsidP="001C67C2">
      <w:pPr>
        <w:pStyle w:val="Paragraphedeliste"/>
        <w:numPr>
          <w:ilvl w:val="0"/>
          <w:numId w:val="22"/>
        </w:numPr>
        <w:autoSpaceDE w:val="0"/>
        <w:autoSpaceDN w:val="0"/>
        <w:adjustRightInd w:val="0"/>
        <w:spacing w:after="0" w:line="240" w:lineRule="auto"/>
        <w:jc w:val="both"/>
        <w:rPr>
          <w:rFonts w:ascii="Times New Roman" w:hAnsi="Times New Roman" w:cs="Times New Roman"/>
          <w:sz w:val="20"/>
          <w:szCs w:val="20"/>
          <w:lang w:val="en-US"/>
        </w:rPr>
      </w:pPr>
      <w:r w:rsidRPr="00B72B75">
        <w:rPr>
          <w:rFonts w:ascii="Times New Roman" w:hAnsi="Times New Roman" w:cs="Times New Roman"/>
          <w:sz w:val="20"/>
          <w:szCs w:val="20"/>
          <w:lang w:val="en-US"/>
        </w:rPr>
        <w:t>Kouzana, L., Ben Mammou, A., and Sfar Felfoul, M., 2009. Seawater intrusion and associated processes: case of the Korba aquifer (Cap-Bon, Tunisia). Comptes Rendus Geosciences, 341 (1), 21-35.</w:t>
      </w:r>
    </w:p>
    <w:p w:rsidR="00A47254" w:rsidRPr="00B72B75"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72B75">
        <w:rPr>
          <w:rFonts w:ascii="Times New Roman" w:eastAsia="Times New Roman" w:hAnsi="Times New Roman" w:cs="Times New Roman"/>
          <w:sz w:val="20"/>
          <w:szCs w:val="20"/>
          <w:lang w:val="en-US" w:eastAsia="fr-FR"/>
        </w:rPr>
        <w:t>Kosmas, C., Tsara, M., Moustakas, N., Kosma, D. and Yassoglou, N., 2006. Envirnomentally sensitive areas and indicators of desertification In: W. Kepner, G., J.L. Rubio, A. David and M. Pedrazzini (Editors), NATO Security through Science Series. Desertification in the Mediterranean Regio. A Security Issue, PP. 527-547.</w:t>
      </w:r>
    </w:p>
    <w:p w:rsidR="00A47254" w:rsidRPr="00A47254" w:rsidRDefault="00A47254" w:rsidP="001C67C2">
      <w:pPr>
        <w:pStyle w:val="Paragraphedeliste"/>
        <w:numPr>
          <w:ilvl w:val="0"/>
          <w:numId w:val="22"/>
        </w:numPr>
        <w:spacing w:line="240" w:lineRule="auto"/>
        <w:jc w:val="both"/>
        <w:rPr>
          <w:rFonts w:ascii="Times New Roman" w:hAnsi="Times New Roman" w:cs="Times New Roman"/>
          <w:sz w:val="20"/>
          <w:szCs w:val="20"/>
        </w:rPr>
      </w:pPr>
      <w:r w:rsidRPr="00B72B75">
        <w:rPr>
          <w:rFonts w:ascii="Times New Roman" w:eastAsia="Times New Roman" w:hAnsi="Times New Roman" w:cs="Times New Roman"/>
          <w:sz w:val="20"/>
          <w:szCs w:val="20"/>
          <w:lang w:eastAsia="fr-FR"/>
        </w:rPr>
        <w:t xml:space="preserve">Maliki, M.A., et al., 2000. Relation entre nappe superficielle et aquifère profonde dans le bassin de Sfax, Tunisie. Comptes rendus de l’Academie des Sciences, 331 (1), 1-6. </w:t>
      </w:r>
    </w:p>
    <w:p w:rsidR="00A47254" w:rsidRPr="00B72B75" w:rsidRDefault="00A47254" w:rsidP="001C67C2">
      <w:pPr>
        <w:pStyle w:val="Paragraphedeliste"/>
        <w:numPr>
          <w:ilvl w:val="0"/>
          <w:numId w:val="22"/>
        </w:numPr>
        <w:autoSpaceDE w:val="0"/>
        <w:autoSpaceDN w:val="0"/>
        <w:adjustRightInd w:val="0"/>
        <w:spacing w:after="0" w:line="240" w:lineRule="auto"/>
        <w:jc w:val="both"/>
        <w:rPr>
          <w:rFonts w:ascii="Times New Roman" w:hAnsi="Times New Roman" w:cs="Times New Roman"/>
          <w:sz w:val="20"/>
          <w:szCs w:val="20"/>
          <w:lang w:val="en-US"/>
        </w:rPr>
      </w:pPr>
      <w:r w:rsidRPr="00B72B75">
        <w:rPr>
          <w:rFonts w:ascii="Times New Roman" w:hAnsi="Times New Roman" w:cs="Times New Roman"/>
          <w:sz w:val="20"/>
          <w:szCs w:val="20"/>
          <w:lang w:val="en-US"/>
        </w:rPr>
        <w:t>Pablo, P., 2004. Seawater intrusion and associated processes in a small coastal complex aquifer (Castell de Ferro, Spain).</w:t>
      </w:r>
    </w:p>
    <w:p w:rsidR="00A47254" w:rsidRPr="00A47254"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A47254">
        <w:rPr>
          <w:rFonts w:ascii="Times New Roman" w:hAnsi="Times New Roman" w:cs="Times New Roman"/>
          <w:sz w:val="20"/>
          <w:szCs w:val="20"/>
          <w:lang w:val="en-US"/>
        </w:rPr>
        <w:t>Parkhurst DL, Christenson S, Breit GN (1992) Groundwater-quality assessment of the central Oklahoma</w:t>
      </w:r>
    </w:p>
    <w:p w:rsidR="00A47254" w:rsidRPr="00B65CB0" w:rsidRDefault="00A47254" w:rsidP="001C67C2">
      <w:pPr>
        <w:pStyle w:val="Paragraphedeliste"/>
        <w:spacing w:line="240" w:lineRule="auto"/>
        <w:ind w:left="144"/>
        <w:jc w:val="both"/>
        <w:rPr>
          <w:rFonts w:ascii="Times New Roman" w:hAnsi="Times New Roman" w:cs="Times New Roman"/>
          <w:sz w:val="20"/>
          <w:szCs w:val="20"/>
          <w:lang w:val="en-US"/>
        </w:rPr>
      </w:pPr>
      <w:r w:rsidRPr="00B65CB0">
        <w:rPr>
          <w:rFonts w:ascii="Times New Roman" w:hAnsi="Times New Roman" w:cs="Times New Roman"/>
          <w:sz w:val="20"/>
          <w:szCs w:val="20"/>
          <w:lang w:val="en-US"/>
        </w:rPr>
        <w:t>aquifer, Oklahoma: geochemical and geohydrologic investigations. US Geol Surv Open File Rep, 92-642.</w:t>
      </w:r>
    </w:p>
    <w:p w:rsidR="00A47254" w:rsidRPr="00B65CB0" w:rsidRDefault="00A47254" w:rsidP="001C67C2">
      <w:pPr>
        <w:pStyle w:val="Paragraphedeliste"/>
        <w:numPr>
          <w:ilvl w:val="0"/>
          <w:numId w:val="22"/>
        </w:numPr>
        <w:spacing w:line="240" w:lineRule="auto"/>
        <w:jc w:val="both"/>
        <w:rPr>
          <w:rFonts w:ascii="Times New Roman" w:hAnsi="Times New Roman" w:cs="Times New Roman"/>
          <w:sz w:val="20"/>
          <w:szCs w:val="20"/>
          <w:lang w:val="en-US"/>
        </w:rPr>
      </w:pPr>
      <w:r w:rsidRPr="00B65CB0">
        <w:rPr>
          <w:rFonts w:ascii="Times New Roman" w:hAnsi="Times New Roman" w:cs="Times New Roman"/>
          <w:sz w:val="20"/>
          <w:szCs w:val="20"/>
          <w:lang w:val="en-US"/>
        </w:rPr>
        <w:t>Piper, A.M., 1944. A graphic procedure in the geochemical interpretation of water analyses. EOS Trans.Am. Geophys. Union 25, 914-923.</w:t>
      </w:r>
    </w:p>
    <w:p w:rsidR="00B65CB0" w:rsidRPr="00A47254" w:rsidRDefault="00B65CB0" w:rsidP="001C67C2">
      <w:pPr>
        <w:pStyle w:val="Paragraphedeliste"/>
        <w:numPr>
          <w:ilvl w:val="0"/>
          <w:numId w:val="22"/>
        </w:numPr>
        <w:spacing w:line="240" w:lineRule="auto"/>
        <w:jc w:val="both"/>
        <w:rPr>
          <w:rFonts w:ascii="Times New Roman" w:hAnsi="Times New Roman" w:cs="Times New Roman"/>
          <w:sz w:val="20"/>
          <w:szCs w:val="20"/>
          <w:lang w:val="en-US"/>
        </w:rPr>
      </w:pPr>
      <w:r w:rsidRPr="00A47254">
        <w:rPr>
          <w:rFonts w:ascii="Times New Roman" w:hAnsi="Times New Roman" w:cs="Times New Roman"/>
          <w:sz w:val="20"/>
          <w:szCs w:val="20"/>
          <w:lang w:val="en-US"/>
        </w:rPr>
        <w:t>Post V.E.A. (2002) - Chemistry for modellers aqueous geochimistry in coastal area. 17 th salt water intrusion meeting, delft, the Nether Lands; 6 - 10 May. 3-12.</w:t>
      </w:r>
    </w:p>
    <w:p w:rsidR="00B65CB0" w:rsidRPr="00B72B75" w:rsidRDefault="00B65CB0" w:rsidP="001C67C2">
      <w:pPr>
        <w:pStyle w:val="Paragraphedeliste"/>
        <w:ind w:left="144"/>
        <w:jc w:val="both"/>
        <w:rPr>
          <w:rFonts w:ascii="Times New Roman" w:hAnsi="Times New Roman" w:cs="Times New Roman"/>
          <w:sz w:val="20"/>
          <w:szCs w:val="20"/>
          <w:lang w:val="en-US"/>
        </w:rPr>
      </w:pPr>
    </w:p>
    <w:p w:rsidR="00B65CB0" w:rsidRPr="00B72B75" w:rsidRDefault="00B65CB0" w:rsidP="001C67C2">
      <w:pPr>
        <w:pStyle w:val="Paragraphedeliste"/>
        <w:ind w:left="0"/>
        <w:jc w:val="both"/>
        <w:rPr>
          <w:rFonts w:ascii="Times New Roman" w:hAnsi="Times New Roman" w:cs="Times New Roman"/>
          <w:sz w:val="20"/>
          <w:szCs w:val="20"/>
          <w:lang w:val="en-US"/>
        </w:rPr>
      </w:pPr>
    </w:p>
    <w:p w:rsidR="00B65CB0" w:rsidRPr="00B72B75" w:rsidRDefault="00B65CB0" w:rsidP="001C67C2">
      <w:pPr>
        <w:pStyle w:val="Paragraphedeliste"/>
        <w:ind w:left="0"/>
        <w:jc w:val="both"/>
        <w:rPr>
          <w:rFonts w:ascii="Times New Roman" w:hAnsi="Times New Roman" w:cs="Times New Roman"/>
          <w:sz w:val="20"/>
          <w:szCs w:val="20"/>
          <w:lang w:val="en-US"/>
        </w:rPr>
      </w:pPr>
    </w:p>
    <w:p w:rsidR="00B65CB0" w:rsidRPr="00B72B75" w:rsidRDefault="00B65CB0" w:rsidP="001C67C2">
      <w:pPr>
        <w:contextualSpacing/>
        <w:rPr>
          <w:b/>
          <w:bCs/>
          <w:sz w:val="18"/>
          <w:szCs w:val="18"/>
        </w:rPr>
      </w:pPr>
    </w:p>
    <w:p w:rsidR="00B65CB0" w:rsidRPr="00B72B75" w:rsidRDefault="00B65CB0" w:rsidP="001C67C2">
      <w:pPr>
        <w:contextualSpacing/>
        <w:rPr>
          <w:b/>
          <w:bCs/>
          <w:sz w:val="18"/>
          <w:szCs w:val="18"/>
        </w:rPr>
      </w:pPr>
    </w:p>
    <w:p w:rsidR="004D0ACD" w:rsidRPr="00B72B75" w:rsidRDefault="004D0ACD" w:rsidP="001C67C2">
      <w:pPr>
        <w:autoSpaceDE w:val="0"/>
        <w:autoSpaceDN w:val="0"/>
        <w:adjustRightInd w:val="0"/>
        <w:spacing w:after="0"/>
        <w:contextualSpacing/>
        <w:rPr>
          <w:rFonts w:eastAsia="Calibri"/>
        </w:rPr>
      </w:pPr>
    </w:p>
    <w:p w:rsidR="006B5D6C" w:rsidRPr="00B72B75" w:rsidRDefault="006B5D6C" w:rsidP="001C67C2">
      <w:pPr>
        <w:autoSpaceDE w:val="0"/>
        <w:autoSpaceDN w:val="0"/>
        <w:adjustRightInd w:val="0"/>
        <w:spacing w:after="0"/>
        <w:contextualSpacing/>
      </w:pPr>
    </w:p>
    <w:p w:rsidR="000D6DC1" w:rsidRPr="00B72B75" w:rsidRDefault="000D6DC1" w:rsidP="001C67C2">
      <w:pPr>
        <w:autoSpaceDE w:val="0"/>
        <w:autoSpaceDN w:val="0"/>
        <w:adjustRightInd w:val="0"/>
        <w:spacing w:after="0"/>
        <w:contextualSpacing/>
      </w:pPr>
      <w:r w:rsidRPr="00B72B75">
        <w:t xml:space="preserve"> </w:t>
      </w:r>
    </w:p>
    <w:p w:rsidR="0064674C" w:rsidRPr="00B72B75" w:rsidRDefault="0064674C" w:rsidP="001C67C2">
      <w:pPr>
        <w:contextualSpacing/>
        <w:jc w:val="center"/>
        <w:rPr>
          <w:b/>
          <w:sz w:val="18"/>
          <w:szCs w:val="18"/>
        </w:rPr>
      </w:pPr>
    </w:p>
    <w:p w:rsidR="000D6DC1" w:rsidRPr="00B72B75" w:rsidRDefault="000D6DC1" w:rsidP="001C67C2">
      <w:pPr>
        <w:contextualSpacing/>
        <w:jc w:val="center"/>
        <w:rPr>
          <w:b/>
          <w:sz w:val="18"/>
          <w:szCs w:val="18"/>
        </w:rPr>
      </w:pPr>
    </w:p>
    <w:p w:rsidR="00B37C23" w:rsidRPr="00B72B75" w:rsidRDefault="00B37C23" w:rsidP="001C67C2">
      <w:pPr>
        <w:contextualSpacing/>
      </w:pPr>
    </w:p>
    <w:p w:rsidR="00CF417E" w:rsidRPr="00B72B75" w:rsidRDefault="00CF417E" w:rsidP="001C67C2">
      <w:pPr>
        <w:contextualSpacing/>
      </w:pPr>
    </w:p>
    <w:p w:rsidR="00C80A6F" w:rsidRPr="00B72B75" w:rsidRDefault="00C80A6F" w:rsidP="001C67C2">
      <w:pPr>
        <w:contextualSpacing/>
        <w:jc w:val="center"/>
        <w:rPr>
          <w:b/>
          <w:bCs/>
          <w:sz w:val="18"/>
          <w:szCs w:val="18"/>
        </w:rPr>
      </w:pPr>
    </w:p>
    <w:sectPr w:rsidR="00C80A6F" w:rsidRPr="00B72B75" w:rsidSect="001354E3">
      <w:footerReference w:type="default" r:id="rId20"/>
      <w:type w:val="continuous"/>
      <w:pgSz w:w="12240" w:h="15840" w:code="1"/>
      <w:pgMar w:top="1224" w:right="1080" w:bottom="1440" w:left="1080" w:header="720" w:footer="720"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4B" w:rsidRDefault="008E5D4B">
      <w:r>
        <w:separator/>
      </w:r>
    </w:p>
  </w:endnote>
  <w:endnote w:type="continuationSeparator" w:id="0">
    <w:p w:rsidR="008E5D4B" w:rsidRDefault="008E5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D9" w:rsidRDefault="00353ED9">
    <w:pPr>
      <w:pStyle w:val="Pieddepage"/>
      <w:jc w:val="center"/>
    </w:pPr>
    <w:fldSimple w:instr=" PAGE   \* MERGEFORMAT ">
      <w:r w:rsidR="008E5D4B">
        <w:rPr>
          <w:noProof/>
        </w:rPr>
        <w:t>1</w:t>
      </w:r>
    </w:fldSimple>
  </w:p>
  <w:p w:rsidR="00353ED9" w:rsidRDefault="00353E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C2" w:rsidRDefault="006969C2">
    <w:pPr>
      <w:pStyle w:val="Pieddepage"/>
      <w:jc w:val="center"/>
    </w:pPr>
    <w:fldSimple w:instr=" PAGE   \* MERGEFORMAT ">
      <w:r w:rsidR="005F460B">
        <w:rPr>
          <w:noProof/>
        </w:rPr>
        <w:t>5</w:t>
      </w:r>
    </w:fldSimple>
  </w:p>
  <w:p w:rsidR="00E21718" w:rsidRDefault="00E217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4B" w:rsidRDefault="008E5D4B">
      <w:r>
        <w:separator/>
      </w:r>
    </w:p>
  </w:footnote>
  <w:footnote w:type="continuationSeparator" w:id="0">
    <w:p w:rsidR="008E5D4B" w:rsidRDefault="008E5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DC9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enumros2"/>
      <w:lvlText w:val="%1."/>
      <w:lvlJc w:val="left"/>
      <w:pPr>
        <w:tabs>
          <w:tab w:val="num" w:pos="720"/>
        </w:tabs>
        <w:ind w:left="720" w:hanging="360"/>
      </w:pPr>
    </w:lvl>
  </w:abstractNum>
  <w:abstractNum w:abstractNumId="4">
    <w:nsid w:val="FFFFFF80"/>
    <w:multiLevelType w:val="singleLevel"/>
    <w:tmpl w:val="843EB82E"/>
    <w:lvl w:ilvl="0">
      <w:start w:val="1"/>
      <w:numFmt w:val="bullet"/>
      <w:pStyle w:val="Listepuces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epuces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epuces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epuces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A836A8AC"/>
    <w:lvl w:ilvl="0">
      <w:start w:val="1"/>
      <w:numFmt w:val="bullet"/>
      <w:pStyle w:val="Listepuces"/>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8470814"/>
    <w:multiLevelType w:val="hybridMultilevel"/>
    <w:tmpl w:val="24B23D52"/>
    <w:lvl w:ilvl="0" w:tplc="82C8D8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nsid w:val="2F092B27"/>
    <w:multiLevelType w:val="hybridMultilevel"/>
    <w:tmpl w:val="C770B388"/>
    <w:lvl w:ilvl="0" w:tplc="A6128C86">
      <w:numFmt w:val="bullet"/>
      <w:lvlText w:val="-"/>
      <w:lvlJc w:val="left"/>
      <w:pPr>
        <w:ind w:left="1784" w:hanging="360"/>
      </w:pPr>
      <w:rPr>
        <w:rFonts w:ascii="Times New Roman" w:eastAsia="Calibri" w:hAnsi="Times New Roman" w:cs="Times New Roman"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17">
    <w:nsid w:val="2F242FFA"/>
    <w:multiLevelType w:val="hybridMultilevel"/>
    <w:tmpl w:val="BDB43E34"/>
    <w:lvl w:ilvl="0" w:tplc="927AEBC6">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nsid w:val="48F24197"/>
    <w:multiLevelType w:val="hybridMultilevel"/>
    <w:tmpl w:val="C5A27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nsid w:val="5289287D"/>
    <w:multiLevelType w:val="singleLevel"/>
    <w:tmpl w:val="DDEE8D5E"/>
    <w:lvl w:ilvl="0">
      <w:start w:val="1"/>
      <w:numFmt w:val="decimal"/>
      <w:lvlText w:val="%1."/>
      <w:legacy w:legacy="1" w:legacySpace="0" w:legacyIndent="144"/>
      <w:lvlJc w:val="left"/>
      <w:pPr>
        <w:ind w:left="144" w:hanging="144"/>
      </w:pPr>
    </w:lvl>
  </w:abstractNum>
  <w:abstractNum w:abstractNumId="23">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4"/>
  </w:num>
  <w:num w:numId="23">
    <w:abstractNumId w:val="18"/>
  </w:num>
  <w:num w:numId="24">
    <w:abstractNumId w:val="10"/>
  </w:num>
  <w:num w:numId="25">
    <w:abstractNumId w:val="19"/>
  </w:num>
  <w:num w:numId="26">
    <w:abstractNumId w:val="15"/>
  </w:num>
  <w:num w:numId="27">
    <w:abstractNumId w:val="21"/>
  </w:num>
  <w:num w:numId="28">
    <w:abstractNumId w:val="22"/>
  </w:num>
  <w:num w:numId="29">
    <w:abstractNumId w:val="14"/>
  </w:num>
  <w:num w:numId="30">
    <w:abstractNumId w:val="23"/>
  </w:num>
  <w:num w:numId="31">
    <w:abstractNumId w:val="12"/>
  </w:num>
  <w:num w:numId="32">
    <w:abstractNumId w:val="13"/>
  </w:num>
  <w:num w:numId="33">
    <w:abstractNumId w:val="20"/>
  </w:num>
  <w:num w:numId="34">
    <w:abstractNumId w:val="1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oNotHyphenateCaps/>
  <w:characterSpacingControl w:val="doNotCompress"/>
  <w:savePreviewPicture/>
  <w:hdrShapeDefaults>
    <o:shapedefaults v:ext="edit" spidmax="3074">
      <o:colormenu v:ext="edit" fillcolor="none" strokecolor="none"/>
    </o:shapedefaults>
  </w:hdrShapeDefaults>
  <w:footnotePr>
    <w:footnote w:id="-1"/>
    <w:footnote w:id="0"/>
  </w:footnotePr>
  <w:endnotePr>
    <w:endnote w:id="-1"/>
    <w:endnote w:id="0"/>
  </w:endnotePr>
  <w:compat/>
  <w:docVars>
    <w:docVar w:name="CHIPaperNum" w:val="400"/>
  </w:docVars>
  <w:rsids>
    <w:rsidRoot w:val="004F7602"/>
    <w:rsid w:val="00031F54"/>
    <w:rsid w:val="000333DE"/>
    <w:rsid w:val="0003450C"/>
    <w:rsid w:val="00051EE4"/>
    <w:rsid w:val="00054C59"/>
    <w:rsid w:val="00055598"/>
    <w:rsid w:val="00071D17"/>
    <w:rsid w:val="000728F3"/>
    <w:rsid w:val="00072B3A"/>
    <w:rsid w:val="0007665E"/>
    <w:rsid w:val="00090A3A"/>
    <w:rsid w:val="000A3852"/>
    <w:rsid w:val="000B6A11"/>
    <w:rsid w:val="000B72DA"/>
    <w:rsid w:val="000C6218"/>
    <w:rsid w:val="000D330B"/>
    <w:rsid w:val="000D6DC1"/>
    <w:rsid w:val="000E4338"/>
    <w:rsid w:val="000E4445"/>
    <w:rsid w:val="000E5328"/>
    <w:rsid w:val="0010210D"/>
    <w:rsid w:val="001105CA"/>
    <w:rsid w:val="00120AA4"/>
    <w:rsid w:val="00123CFD"/>
    <w:rsid w:val="001354E3"/>
    <w:rsid w:val="00137145"/>
    <w:rsid w:val="00141967"/>
    <w:rsid w:val="001465AB"/>
    <w:rsid w:val="00151FAA"/>
    <w:rsid w:val="00161911"/>
    <w:rsid w:val="00185275"/>
    <w:rsid w:val="00191F41"/>
    <w:rsid w:val="001A213F"/>
    <w:rsid w:val="001C1CB1"/>
    <w:rsid w:val="001C2A81"/>
    <w:rsid w:val="001C67C2"/>
    <w:rsid w:val="001D0881"/>
    <w:rsid w:val="001D3647"/>
    <w:rsid w:val="001D5D6F"/>
    <w:rsid w:val="001F062E"/>
    <w:rsid w:val="001F40BF"/>
    <w:rsid w:val="0020187F"/>
    <w:rsid w:val="0020192F"/>
    <w:rsid w:val="00210191"/>
    <w:rsid w:val="00211A58"/>
    <w:rsid w:val="002133D8"/>
    <w:rsid w:val="00227741"/>
    <w:rsid w:val="002339CB"/>
    <w:rsid w:val="00234364"/>
    <w:rsid w:val="0024113A"/>
    <w:rsid w:val="0025707B"/>
    <w:rsid w:val="002862A4"/>
    <w:rsid w:val="002F0FDD"/>
    <w:rsid w:val="002F23CD"/>
    <w:rsid w:val="002F61EC"/>
    <w:rsid w:val="00315AA9"/>
    <w:rsid w:val="00324507"/>
    <w:rsid w:val="00340493"/>
    <w:rsid w:val="0034547C"/>
    <w:rsid w:val="00347CEE"/>
    <w:rsid w:val="003500C6"/>
    <w:rsid w:val="00353ED9"/>
    <w:rsid w:val="00354AC8"/>
    <w:rsid w:val="00355923"/>
    <w:rsid w:val="00365BF8"/>
    <w:rsid w:val="00370399"/>
    <w:rsid w:val="00370BE0"/>
    <w:rsid w:val="00372E36"/>
    <w:rsid w:val="0039156C"/>
    <w:rsid w:val="003948CB"/>
    <w:rsid w:val="00395914"/>
    <w:rsid w:val="003B1F3C"/>
    <w:rsid w:val="003B7D25"/>
    <w:rsid w:val="003D12AD"/>
    <w:rsid w:val="003D6295"/>
    <w:rsid w:val="003E1FB5"/>
    <w:rsid w:val="003E3C69"/>
    <w:rsid w:val="003E7420"/>
    <w:rsid w:val="0041136C"/>
    <w:rsid w:val="0041270E"/>
    <w:rsid w:val="00412B28"/>
    <w:rsid w:val="00422B2B"/>
    <w:rsid w:val="00442032"/>
    <w:rsid w:val="00454A5E"/>
    <w:rsid w:val="00464E4E"/>
    <w:rsid w:val="0046771C"/>
    <w:rsid w:val="00480F98"/>
    <w:rsid w:val="0048751E"/>
    <w:rsid w:val="00493EDB"/>
    <w:rsid w:val="004A660B"/>
    <w:rsid w:val="004C0EBA"/>
    <w:rsid w:val="004C3886"/>
    <w:rsid w:val="004D0ACD"/>
    <w:rsid w:val="004D26D4"/>
    <w:rsid w:val="004F1DBD"/>
    <w:rsid w:val="004F62A9"/>
    <w:rsid w:val="005004D4"/>
    <w:rsid w:val="00504DBE"/>
    <w:rsid w:val="00505BB2"/>
    <w:rsid w:val="00505DFC"/>
    <w:rsid w:val="00507848"/>
    <w:rsid w:val="00551456"/>
    <w:rsid w:val="0055260E"/>
    <w:rsid w:val="00560E90"/>
    <w:rsid w:val="005648DE"/>
    <w:rsid w:val="00565940"/>
    <w:rsid w:val="00580BE6"/>
    <w:rsid w:val="005A1DB7"/>
    <w:rsid w:val="005C216A"/>
    <w:rsid w:val="005C632C"/>
    <w:rsid w:val="005D144D"/>
    <w:rsid w:val="005D4D2A"/>
    <w:rsid w:val="005E05F7"/>
    <w:rsid w:val="005E2F37"/>
    <w:rsid w:val="005E3A00"/>
    <w:rsid w:val="005F460B"/>
    <w:rsid w:val="006048E3"/>
    <w:rsid w:val="006127F1"/>
    <w:rsid w:val="00613D18"/>
    <w:rsid w:val="0064674C"/>
    <w:rsid w:val="00656F97"/>
    <w:rsid w:val="006619D3"/>
    <w:rsid w:val="00663A28"/>
    <w:rsid w:val="00684747"/>
    <w:rsid w:val="00691854"/>
    <w:rsid w:val="00695F7C"/>
    <w:rsid w:val="006969C2"/>
    <w:rsid w:val="006A620B"/>
    <w:rsid w:val="006B3CBC"/>
    <w:rsid w:val="006B3F1F"/>
    <w:rsid w:val="006B5D6C"/>
    <w:rsid w:val="006C6EC6"/>
    <w:rsid w:val="006E401D"/>
    <w:rsid w:val="006E6BDF"/>
    <w:rsid w:val="007031CC"/>
    <w:rsid w:val="007035D7"/>
    <w:rsid w:val="007037C0"/>
    <w:rsid w:val="007078B9"/>
    <w:rsid w:val="00714353"/>
    <w:rsid w:val="0072719E"/>
    <w:rsid w:val="00734875"/>
    <w:rsid w:val="00737AF4"/>
    <w:rsid w:val="007400C4"/>
    <w:rsid w:val="00765095"/>
    <w:rsid w:val="00770435"/>
    <w:rsid w:val="00780DF9"/>
    <w:rsid w:val="0079702E"/>
    <w:rsid w:val="00797287"/>
    <w:rsid w:val="007A2860"/>
    <w:rsid w:val="007A6F3B"/>
    <w:rsid w:val="007C7E48"/>
    <w:rsid w:val="007D7B0E"/>
    <w:rsid w:val="007E0A74"/>
    <w:rsid w:val="007E174B"/>
    <w:rsid w:val="007F61EF"/>
    <w:rsid w:val="00802620"/>
    <w:rsid w:val="008134A2"/>
    <w:rsid w:val="0083263F"/>
    <w:rsid w:val="00855456"/>
    <w:rsid w:val="008639E0"/>
    <w:rsid w:val="0086731B"/>
    <w:rsid w:val="00867D63"/>
    <w:rsid w:val="00890771"/>
    <w:rsid w:val="008C3181"/>
    <w:rsid w:val="008E5D4B"/>
    <w:rsid w:val="0090145C"/>
    <w:rsid w:val="00906132"/>
    <w:rsid w:val="009222AB"/>
    <w:rsid w:val="00935DFB"/>
    <w:rsid w:val="00940872"/>
    <w:rsid w:val="00954859"/>
    <w:rsid w:val="00975599"/>
    <w:rsid w:val="009863CF"/>
    <w:rsid w:val="0098709C"/>
    <w:rsid w:val="00992C8B"/>
    <w:rsid w:val="00992D8D"/>
    <w:rsid w:val="009A5A47"/>
    <w:rsid w:val="009A5D8E"/>
    <w:rsid w:val="009A62ED"/>
    <w:rsid w:val="009D0E6F"/>
    <w:rsid w:val="009E3B95"/>
    <w:rsid w:val="009F7475"/>
    <w:rsid w:val="00A1173C"/>
    <w:rsid w:val="00A46780"/>
    <w:rsid w:val="00A47254"/>
    <w:rsid w:val="00A62565"/>
    <w:rsid w:val="00A62A70"/>
    <w:rsid w:val="00A631A3"/>
    <w:rsid w:val="00A64C3A"/>
    <w:rsid w:val="00A6678D"/>
    <w:rsid w:val="00A729A3"/>
    <w:rsid w:val="00A8132E"/>
    <w:rsid w:val="00A94833"/>
    <w:rsid w:val="00AA0C35"/>
    <w:rsid w:val="00AA5818"/>
    <w:rsid w:val="00AA64B3"/>
    <w:rsid w:val="00AA7718"/>
    <w:rsid w:val="00AB0D62"/>
    <w:rsid w:val="00AB2711"/>
    <w:rsid w:val="00AB6E52"/>
    <w:rsid w:val="00AC7B51"/>
    <w:rsid w:val="00B2580E"/>
    <w:rsid w:val="00B26FEF"/>
    <w:rsid w:val="00B37C23"/>
    <w:rsid w:val="00B46881"/>
    <w:rsid w:val="00B559A0"/>
    <w:rsid w:val="00B609F4"/>
    <w:rsid w:val="00B65CB0"/>
    <w:rsid w:val="00B72B75"/>
    <w:rsid w:val="00B77C60"/>
    <w:rsid w:val="00BB5360"/>
    <w:rsid w:val="00BD2529"/>
    <w:rsid w:val="00BD7308"/>
    <w:rsid w:val="00BF2B87"/>
    <w:rsid w:val="00C06485"/>
    <w:rsid w:val="00C43299"/>
    <w:rsid w:val="00C538DB"/>
    <w:rsid w:val="00C617F0"/>
    <w:rsid w:val="00C668FF"/>
    <w:rsid w:val="00C80A6F"/>
    <w:rsid w:val="00C852D4"/>
    <w:rsid w:val="00C87DA2"/>
    <w:rsid w:val="00CA1F74"/>
    <w:rsid w:val="00CA5766"/>
    <w:rsid w:val="00CB38D3"/>
    <w:rsid w:val="00CC3D2B"/>
    <w:rsid w:val="00CE2F01"/>
    <w:rsid w:val="00CE3B65"/>
    <w:rsid w:val="00CE7233"/>
    <w:rsid w:val="00CF417E"/>
    <w:rsid w:val="00D0551D"/>
    <w:rsid w:val="00D10462"/>
    <w:rsid w:val="00D12810"/>
    <w:rsid w:val="00D155A0"/>
    <w:rsid w:val="00D170CB"/>
    <w:rsid w:val="00D2000C"/>
    <w:rsid w:val="00D228A6"/>
    <w:rsid w:val="00D27A25"/>
    <w:rsid w:val="00D60FA7"/>
    <w:rsid w:val="00D676FC"/>
    <w:rsid w:val="00D84763"/>
    <w:rsid w:val="00D87F69"/>
    <w:rsid w:val="00D90D3D"/>
    <w:rsid w:val="00DA16DB"/>
    <w:rsid w:val="00DC22E3"/>
    <w:rsid w:val="00DE0095"/>
    <w:rsid w:val="00DE1746"/>
    <w:rsid w:val="00DE5D25"/>
    <w:rsid w:val="00DF1E60"/>
    <w:rsid w:val="00E10A31"/>
    <w:rsid w:val="00E15DAA"/>
    <w:rsid w:val="00E21718"/>
    <w:rsid w:val="00E309BC"/>
    <w:rsid w:val="00E35A4C"/>
    <w:rsid w:val="00E4134B"/>
    <w:rsid w:val="00E53457"/>
    <w:rsid w:val="00E64DDD"/>
    <w:rsid w:val="00E65B32"/>
    <w:rsid w:val="00E66CCF"/>
    <w:rsid w:val="00E833F8"/>
    <w:rsid w:val="00EA1C52"/>
    <w:rsid w:val="00EA2FD2"/>
    <w:rsid w:val="00EA4931"/>
    <w:rsid w:val="00EB3CF4"/>
    <w:rsid w:val="00EB4F58"/>
    <w:rsid w:val="00EB754B"/>
    <w:rsid w:val="00EC54AB"/>
    <w:rsid w:val="00ED7C85"/>
    <w:rsid w:val="00ED7D45"/>
    <w:rsid w:val="00EE0360"/>
    <w:rsid w:val="00EE3EDB"/>
    <w:rsid w:val="00EF3835"/>
    <w:rsid w:val="00EF53FE"/>
    <w:rsid w:val="00F01986"/>
    <w:rsid w:val="00F10CD0"/>
    <w:rsid w:val="00F311C1"/>
    <w:rsid w:val="00F52EAB"/>
    <w:rsid w:val="00F56305"/>
    <w:rsid w:val="00F64A6C"/>
    <w:rsid w:val="00F71803"/>
    <w:rsid w:val="00F90E70"/>
    <w:rsid w:val="00F91F54"/>
    <w:rsid w:val="00FA519E"/>
    <w:rsid w:val="00FC5A94"/>
    <w:rsid w:val="00FC7748"/>
    <w:rsid w:val="00FD3E2C"/>
    <w:rsid w:val="00FF2DD4"/>
    <w:rsid w:val="00FF3354"/>
    <w:rsid w:val="00FF70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Titre1">
    <w:name w:val="heading 1"/>
    <w:basedOn w:val="Normal"/>
    <w:next w:val="Normal"/>
    <w:qFormat/>
    <w:pPr>
      <w:keepNext/>
      <w:keepLines/>
      <w:spacing w:before="120" w:after="0"/>
      <w:outlineLvl w:val="0"/>
    </w:pPr>
    <w:rPr>
      <w:rFonts w:ascii="Arial" w:hAnsi="Arial"/>
      <w:b/>
      <w:caps/>
      <w:kern w:val="32"/>
      <w:sz w:val="18"/>
    </w:rPr>
  </w:style>
  <w:style w:type="paragraph" w:styleId="Titre2">
    <w:name w:val="heading 2"/>
    <w:basedOn w:val="Titre1"/>
    <w:next w:val="Normal"/>
    <w:qFormat/>
    <w:pPr>
      <w:outlineLvl w:val="1"/>
    </w:pPr>
    <w:rPr>
      <w:caps w:val="0"/>
    </w:rPr>
  </w:style>
  <w:style w:type="paragraph" w:styleId="Titre3">
    <w:name w:val="heading 3"/>
    <w:basedOn w:val="Titre2"/>
    <w:next w:val="Normal"/>
    <w:qFormat/>
    <w:pPr>
      <w:outlineLvl w:val="2"/>
    </w:pPr>
    <w:rPr>
      <w:b w:val="0"/>
      <w:i/>
    </w:rPr>
  </w:style>
  <w:style w:type="paragraph" w:styleId="Titre4">
    <w:name w:val="heading 4"/>
    <w:basedOn w:val="Normal"/>
    <w:next w:val="Normal"/>
    <w:qFormat/>
    <w:pPr>
      <w:keepNext/>
      <w:numPr>
        <w:ilvl w:val="3"/>
        <w:numId w:val="23"/>
      </w:numPr>
      <w:spacing w:before="240" w:after="60"/>
      <w:outlineLvl w:val="3"/>
    </w:pPr>
    <w:rPr>
      <w:b/>
      <w:sz w:val="28"/>
    </w:rPr>
  </w:style>
  <w:style w:type="paragraph" w:styleId="Titre5">
    <w:name w:val="heading 5"/>
    <w:basedOn w:val="Normal"/>
    <w:next w:val="Normal"/>
    <w:qFormat/>
    <w:pPr>
      <w:numPr>
        <w:ilvl w:val="4"/>
        <w:numId w:val="23"/>
      </w:numPr>
      <w:spacing w:before="240" w:after="60"/>
      <w:outlineLvl w:val="4"/>
    </w:pPr>
    <w:rPr>
      <w:b/>
      <w:i/>
      <w:sz w:val="26"/>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link w:val="PieddepageCar"/>
    <w:uiPriority w:val="99"/>
    <w:pPr>
      <w:tabs>
        <w:tab w:val="center" w:pos="4320"/>
        <w:tab w:val="right" w:pos="8640"/>
      </w:tabs>
    </w:pPr>
  </w:style>
  <w:style w:type="paragraph" w:styleId="En-tte">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Numrodepage">
    <w:name w:val="page number"/>
    <w:basedOn w:val="Policepardfaut"/>
  </w:style>
  <w:style w:type="paragraph" w:styleId="Titre">
    <w:name w:val="Title"/>
    <w:basedOn w:val="Normal"/>
    <w:qFormat/>
    <w:pPr>
      <w:spacing w:before="100" w:beforeAutospacing="1"/>
      <w:jc w:val="center"/>
      <w:outlineLvl w:val="0"/>
    </w:pPr>
    <w:rPr>
      <w:rFonts w:ascii="Arial" w:hAnsi="Arial"/>
      <w:b/>
      <w:kern w:val="28"/>
      <w:sz w:val="36"/>
    </w:rPr>
  </w:style>
  <w:style w:type="paragraph" w:styleId="Normalcentr">
    <w:name w:val="Block Text"/>
    <w:basedOn w:val="Normal"/>
    <w:pPr>
      <w:ind w:left="1440" w:right="1440"/>
    </w:pPr>
  </w:style>
  <w:style w:type="paragraph" w:styleId="Lgende">
    <w:name w:val="caption"/>
    <w:basedOn w:val="Normal"/>
    <w:next w:val="Normal"/>
    <w:qFormat/>
    <w:pPr>
      <w:keepNext/>
      <w:spacing w:before="120"/>
      <w:jc w:val="center"/>
    </w:pPr>
    <w:rPr>
      <w:b/>
      <w:sz w:val="18"/>
    </w:rPr>
  </w:style>
  <w:style w:type="paragraph" w:styleId="Formuledepolitesse">
    <w:name w:val="Closing"/>
    <w:basedOn w:val="Normal"/>
    <w:pPr>
      <w:ind w:left="4320"/>
    </w:p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continue">
    <w:name w:val="List Continue"/>
    <w:basedOn w:val="Normal"/>
    <w:pPr>
      <w:ind w:left="360"/>
    </w:pPr>
  </w:style>
  <w:style w:type="paragraph" w:styleId="Listecontinue2">
    <w:name w:val="List Continue 2"/>
    <w:basedOn w:val="Normal"/>
    <w:pPr>
      <w:ind w:left="720"/>
    </w:pPr>
  </w:style>
  <w:style w:type="paragraph" w:styleId="Listecontinue3">
    <w:name w:val="List Continue 3"/>
    <w:basedOn w:val="Normal"/>
    <w:pPr>
      <w:ind w:left="1080"/>
    </w:pPr>
  </w:style>
  <w:style w:type="paragraph" w:styleId="Listecontinue4">
    <w:name w:val="List Continue 4"/>
    <w:basedOn w:val="Normal"/>
    <w:pPr>
      <w:ind w:left="1440"/>
    </w:pPr>
  </w:style>
  <w:style w:type="paragraph" w:styleId="Listecontinue5">
    <w:name w:val="List Continue 5"/>
    <w:basedOn w:val="Normal"/>
    <w:pPr>
      <w:ind w:left="1800"/>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pPr>
      <w:ind w:left="4320"/>
    </w:pPr>
  </w:style>
  <w:style w:type="paragraph" w:styleId="Sous-titre">
    <w:name w:val="Subtitle"/>
    <w:basedOn w:val="Normal"/>
    <w:qFormat/>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Appelnotedebasdep">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Marquedecommentaire">
    <w:name w:val="annotation reference"/>
    <w:semiHidden/>
    <w:rPr>
      <w:sz w:val="16"/>
    </w:rPr>
  </w:style>
  <w:style w:type="paragraph" w:customStyle="1" w:styleId="Abstract">
    <w:name w:val="Abstract"/>
    <w:basedOn w:val="Titre1"/>
    <w:pPr>
      <w:spacing w:before="40"/>
      <w:outlineLvl w:val="9"/>
    </w:pPr>
    <w:rPr>
      <w:rFonts w:ascii="Times New Roman" w:hAnsi="Times New Roman"/>
      <w:kern w:val="28"/>
      <w:sz w:val="24"/>
    </w:rPr>
  </w:style>
  <w:style w:type="character" w:styleId="Lienhypertexte">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Policepardfaut"/>
  </w:style>
  <w:style w:type="paragraph" w:customStyle="1" w:styleId="TableText">
    <w:name w:val="Table Text"/>
    <w:basedOn w:val="Normal"/>
    <w:pPr>
      <w:keepLines/>
      <w:spacing w:before="40" w:after="40"/>
      <w:jc w:val="left"/>
    </w:pPr>
  </w:style>
  <w:style w:type="character" w:styleId="Lienhypertextesuivivisit">
    <w:name w:val="FollowedHyperlink"/>
    <w:rPr>
      <w:color w:val="800080"/>
      <w:u w:val="single"/>
    </w:rPr>
  </w:style>
  <w:style w:type="paragraph" w:styleId="Objetducommentaire">
    <w:name w:val="annotation subject"/>
    <w:basedOn w:val="Commentaire"/>
    <w:next w:val="Commentaire"/>
    <w:semiHidden/>
    <w:rsid w:val="006D66A4"/>
    <w:rPr>
      <w:b/>
      <w:bCs/>
    </w:rPr>
  </w:style>
  <w:style w:type="paragraph" w:styleId="Textedebulles">
    <w:name w:val="Balloon Text"/>
    <w:basedOn w:val="Normal"/>
    <w:semiHidden/>
    <w:rsid w:val="006D66A4"/>
    <w:rPr>
      <w:rFonts w:ascii="Tahoma" w:hAnsi="Tahoma" w:cs="Tahoma"/>
      <w:sz w:val="16"/>
      <w:szCs w:val="16"/>
    </w:rPr>
  </w:style>
  <w:style w:type="character" w:customStyle="1" w:styleId="q">
    <w:name w:val="q"/>
    <w:basedOn w:val="Policepardfaut"/>
    <w:rsid w:val="00F01986"/>
  </w:style>
  <w:style w:type="paragraph" w:styleId="Paragraphedeliste">
    <w:name w:val="List Paragraph"/>
    <w:basedOn w:val="Normal"/>
    <w:uiPriority w:val="34"/>
    <w:qFormat/>
    <w:rsid w:val="00EA1C52"/>
    <w:pPr>
      <w:spacing w:after="200" w:line="276" w:lineRule="auto"/>
      <w:ind w:left="720"/>
      <w:contextualSpacing/>
      <w:jc w:val="left"/>
    </w:pPr>
    <w:rPr>
      <w:rFonts w:ascii="Calibri" w:eastAsia="Calibri" w:hAnsi="Calibri" w:cs="Arial"/>
      <w:sz w:val="22"/>
      <w:szCs w:val="22"/>
      <w:lang w:val="fr-FR"/>
    </w:rPr>
  </w:style>
  <w:style w:type="paragraph" w:styleId="Bibliographie">
    <w:name w:val="Bibliography"/>
    <w:basedOn w:val="Normal"/>
    <w:next w:val="Normal"/>
    <w:uiPriority w:val="37"/>
    <w:unhideWhenUsed/>
    <w:rsid w:val="003E7420"/>
    <w:pPr>
      <w:spacing w:after="200" w:line="276" w:lineRule="auto"/>
      <w:jc w:val="left"/>
    </w:pPr>
    <w:rPr>
      <w:rFonts w:ascii="Calibri" w:eastAsia="Calibri" w:hAnsi="Calibri" w:cs="Arial"/>
      <w:sz w:val="22"/>
      <w:szCs w:val="22"/>
      <w:lang w:val="fr-FR"/>
    </w:rPr>
  </w:style>
  <w:style w:type="character" w:customStyle="1" w:styleId="PieddepageCar">
    <w:name w:val="Pied de page Car"/>
    <w:basedOn w:val="Policepardfaut"/>
    <w:link w:val="Pieddepage"/>
    <w:uiPriority w:val="99"/>
    <w:rsid w:val="006969C2"/>
    <w:rPr>
      <w:rFonts w:ascii="Times New Roman" w:eastAsia="Times New Roman" w:hAnsi="Times New Roman"/>
      <w:lang w:val="en-US" w:eastAsia="en-US"/>
    </w:rPr>
  </w:style>
  <w:style w:type="paragraph" w:styleId="Rvision">
    <w:name w:val="Revision"/>
    <w:hidden/>
    <w:uiPriority w:val="99"/>
    <w:semiHidden/>
    <w:rsid w:val="00F91F54"/>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brine55@yahoo.com" TargetMode="External"/><Relationship Id="rId13" Type="http://schemas.openxmlformats.org/officeDocument/2006/relationships/image" Target="media/image4.e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h&#232;se%202015.2016\Analyses%20Isotopiques\correct%20resul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Th&#232;se%202015.2016\Analyses%20Isotopiques\correct%20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189129483814551"/>
          <c:y val="5.1400554097404488E-2"/>
          <c:w val="0.82440048118985132"/>
          <c:h val="0.77412766112569265"/>
        </c:manualLayout>
      </c:layout>
      <c:scatterChart>
        <c:scatterStyle val="lineMarker"/>
        <c:ser>
          <c:idx val="0"/>
          <c:order val="0"/>
          <c:tx>
            <c:v>Shallow well</c:v>
          </c:tx>
          <c:spPr>
            <a:ln w="28575">
              <a:noFill/>
            </a:ln>
          </c:spPr>
          <c:marker>
            <c:symbol val="triangle"/>
            <c:size val="7"/>
            <c:spPr>
              <a:solidFill>
                <a:srgbClr val="FFFF00"/>
              </a:solidFill>
              <a:ln>
                <a:solidFill>
                  <a:schemeClr val="tx1"/>
                </a:solidFill>
              </a:ln>
            </c:spPr>
          </c:marker>
          <c:xVal>
            <c:numRef>
              <c:f>USED!$B$2:$B$33</c:f>
              <c:numCache>
                <c:formatCode>General</c:formatCode>
                <c:ptCount val="32"/>
                <c:pt idx="0">
                  <c:v>-2.2105249999999996</c:v>
                </c:pt>
                <c:pt idx="1">
                  <c:v>-3.3732813333333329</c:v>
                </c:pt>
                <c:pt idx="2">
                  <c:v>0.54169366666666741</c:v>
                </c:pt>
                <c:pt idx="3">
                  <c:v>-6.9878740000000015</c:v>
                </c:pt>
                <c:pt idx="4">
                  <c:v>-3.4609049999999999</c:v>
                </c:pt>
                <c:pt idx="5">
                  <c:v>-4.5752749999999995</c:v>
                </c:pt>
                <c:pt idx="6">
                  <c:v>-4.2109283333333334</c:v>
                </c:pt>
                <c:pt idx="7">
                  <c:v>-3.3806383333333327</c:v>
                </c:pt>
                <c:pt idx="8">
                  <c:v>-3.523965</c:v>
                </c:pt>
                <c:pt idx="9">
                  <c:v>-2.8898213333333338</c:v>
                </c:pt>
                <c:pt idx="10">
                  <c:v>-5.233137666666666</c:v>
                </c:pt>
                <c:pt idx="11">
                  <c:v>-5.0072440000000009</c:v>
                </c:pt>
                <c:pt idx="12">
                  <c:v>-4.9035309999999974</c:v>
                </c:pt>
                <c:pt idx="13">
                  <c:v>-5.367670999999997</c:v>
                </c:pt>
                <c:pt idx="14">
                  <c:v>-8.7950440000000025</c:v>
                </c:pt>
                <c:pt idx="15">
                  <c:v>-5.0965863333333328</c:v>
                </c:pt>
                <c:pt idx="16">
                  <c:v>-4.0855683333333346</c:v>
                </c:pt>
                <c:pt idx="17">
                  <c:v>-5.4097126666666684</c:v>
                </c:pt>
                <c:pt idx="18">
                  <c:v>-3.0032476666666672</c:v>
                </c:pt>
                <c:pt idx="19">
                  <c:v>-4.7299829999999981</c:v>
                </c:pt>
                <c:pt idx="20">
                  <c:v>-4.3604859999999963</c:v>
                </c:pt>
                <c:pt idx="21">
                  <c:v>-5.6224289999999968</c:v>
                </c:pt>
                <c:pt idx="22">
                  <c:v>-5.2054839999999976</c:v>
                </c:pt>
                <c:pt idx="23">
                  <c:v>-4.4606680000000027</c:v>
                </c:pt>
                <c:pt idx="24">
                  <c:v>-4.3925369999999955</c:v>
                </c:pt>
                <c:pt idx="25">
                  <c:v>-2.5853280000000001</c:v>
                </c:pt>
                <c:pt idx="26">
                  <c:v>-4.3711060000000002</c:v>
                </c:pt>
                <c:pt idx="27">
                  <c:v>-4.1187039999999984</c:v>
                </c:pt>
                <c:pt idx="28">
                  <c:v>-6.5039560000000005</c:v>
                </c:pt>
                <c:pt idx="29">
                  <c:v>-4.9432653333333372</c:v>
                </c:pt>
                <c:pt idx="30">
                  <c:v>-6.3028336666666682</c:v>
                </c:pt>
                <c:pt idx="31">
                  <c:v>-5.2457376666666669</c:v>
                </c:pt>
              </c:numCache>
            </c:numRef>
          </c:xVal>
          <c:yVal>
            <c:numRef>
              <c:f>USED!$C$2:$C$33</c:f>
              <c:numCache>
                <c:formatCode>General</c:formatCode>
                <c:ptCount val="32"/>
                <c:pt idx="0">
                  <c:v>-22.431533333333313</c:v>
                </c:pt>
                <c:pt idx="1">
                  <c:v>-29.634604333333325</c:v>
                </c:pt>
                <c:pt idx="2">
                  <c:v>-12.596164333333334</c:v>
                </c:pt>
                <c:pt idx="3">
                  <c:v>-44.8763133333333</c:v>
                </c:pt>
                <c:pt idx="4">
                  <c:v>-30.488540333333308</c:v>
                </c:pt>
                <c:pt idx="5">
                  <c:v>-32.621366333333341</c:v>
                </c:pt>
                <c:pt idx="6">
                  <c:v>-31.830871333333324</c:v>
                </c:pt>
                <c:pt idx="7">
                  <c:v>-28.374847333333321</c:v>
                </c:pt>
                <c:pt idx="8">
                  <c:v>-31.120600666666665</c:v>
                </c:pt>
                <c:pt idx="9">
                  <c:v>-25.895277666666665</c:v>
                </c:pt>
                <c:pt idx="10">
                  <c:v>-31.426353333333317</c:v>
                </c:pt>
                <c:pt idx="11">
                  <c:v>-35.843273333333315</c:v>
                </c:pt>
                <c:pt idx="12">
                  <c:v>-30.697114666666675</c:v>
                </c:pt>
                <c:pt idx="13">
                  <c:v>-31.72454133333332</c:v>
                </c:pt>
                <c:pt idx="14">
                  <c:v>-60.225683333333336</c:v>
                </c:pt>
                <c:pt idx="15">
                  <c:v>-31.501653333333326</c:v>
                </c:pt>
                <c:pt idx="16">
                  <c:v>-28.745004000000002</c:v>
                </c:pt>
                <c:pt idx="17">
                  <c:v>-33.674309333333326</c:v>
                </c:pt>
                <c:pt idx="18">
                  <c:v>-21.844846666666665</c:v>
                </c:pt>
                <c:pt idx="19">
                  <c:v>-30.488951999999994</c:v>
                </c:pt>
                <c:pt idx="20">
                  <c:v>-31.258209999999984</c:v>
                </c:pt>
                <c:pt idx="21">
                  <c:v>-28.480295999999989</c:v>
                </c:pt>
                <c:pt idx="22">
                  <c:v>-32.674566666666642</c:v>
                </c:pt>
                <c:pt idx="23">
                  <c:v>-31.12421666666668</c:v>
                </c:pt>
                <c:pt idx="24">
                  <c:v>-21.587183999999986</c:v>
                </c:pt>
                <c:pt idx="25">
                  <c:v>-13.181718666666665</c:v>
                </c:pt>
                <c:pt idx="26">
                  <c:v>-32.343623333333319</c:v>
                </c:pt>
                <c:pt idx="27">
                  <c:v>-30.107820000000011</c:v>
                </c:pt>
                <c:pt idx="28">
                  <c:v>-41.190723333333302</c:v>
                </c:pt>
                <c:pt idx="29">
                  <c:v>-34.422133333333349</c:v>
                </c:pt>
                <c:pt idx="30">
                  <c:v>-40.304419999999993</c:v>
                </c:pt>
                <c:pt idx="31">
                  <c:v>-32.501202666666629</c:v>
                </c:pt>
              </c:numCache>
            </c:numRef>
          </c:yVal>
        </c:ser>
        <c:ser>
          <c:idx val="1"/>
          <c:order val="1"/>
          <c:tx>
            <c:v>RMWL</c:v>
          </c:tx>
          <c:spPr>
            <a:ln w="28575">
              <a:noFill/>
            </a:ln>
          </c:spPr>
          <c:marker>
            <c:symbol val="none"/>
          </c:marker>
          <c:trendline>
            <c:spPr>
              <a:ln w="19050">
                <a:prstDash val="sysDash"/>
              </a:ln>
            </c:spPr>
            <c:trendlineType val="linear"/>
          </c:trendline>
          <c:xVal>
            <c:numRef>
              <c:f>USED!$E$2:$E$54</c:f>
              <c:numCache>
                <c:formatCode>General</c:formatCode>
                <c:ptCount val="53"/>
                <c:pt idx="0">
                  <c:v>-4.3539416666666657</c:v>
                </c:pt>
                <c:pt idx="1">
                  <c:v>-5.2543255416666668</c:v>
                </c:pt>
                <c:pt idx="2">
                  <c:v>-3.1245205416666684</c:v>
                </c:pt>
                <c:pt idx="3">
                  <c:v>-7.1595391666666615</c:v>
                </c:pt>
                <c:pt idx="4">
                  <c:v>-5.3610675416666664</c:v>
                </c:pt>
                <c:pt idx="5">
                  <c:v>-5.6276707916666684</c:v>
                </c:pt>
                <c:pt idx="6">
                  <c:v>-5.5288589166666657</c:v>
                </c:pt>
                <c:pt idx="7">
                  <c:v>-5.0968559166666658</c:v>
                </c:pt>
                <c:pt idx="8">
                  <c:v>-5.440075083333336</c:v>
                </c:pt>
                <c:pt idx="9">
                  <c:v>-4.7869097083333347</c:v>
                </c:pt>
                <c:pt idx="10">
                  <c:v>-5.4782941666666689</c:v>
                </c:pt>
                <c:pt idx="11">
                  <c:v>-6.0304091666666677</c:v>
                </c:pt>
                <c:pt idx="12">
                  <c:v>-5.3871393333333337</c:v>
                </c:pt>
                <c:pt idx="13">
                  <c:v>-5.5155676666666675</c:v>
                </c:pt>
                <c:pt idx="14">
                  <c:v>-9.0782104166666677</c:v>
                </c:pt>
                <c:pt idx="15">
                  <c:v>-5.4877066666666678</c:v>
                </c:pt>
                <c:pt idx="16">
                  <c:v>-5.1431254999999982</c:v>
                </c:pt>
                <c:pt idx="17">
                  <c:v>-5.7592886666666674</c:v>
                </c:pt>
                <c:pt idx="18">
                  <c:v>-4.2806058333333334</c:v>
                </c:pt>
                <c:pt idx="19">
                  <c:v>-5.3611189999999986</c:v>
                </c:pt>
                <c:pt idx="20">
                  <c:v>-5.4572762499999978</c:v>
                </c:pt>
                <c:pt idx="21">
                  <c:v>-5.1100369999999966</c:v>
                </c:pt>
                <c:pt idx="22">
                  <c:v>-5.6343208333333337</c:v>
                </c:pt>
                <c:pt idx="23">
                  <c:v>-5.4405270833333379</c:v>
                </c:pt>
                <c:pt idx="24">
                  <c:v>-4.248397999999999</c:v>
                </c:pt>
                <c:pt idx="25">
                  <c:v>-3.1977148333333343</c:v>
                </c:pt>
                <c:pt idx="26">
                  <c:v>-5.5929529166666665</c:v>
                </c:pt>
                <c:pt idx="27">
                  <c:v>-5.3134774999999985</c:v>
                </c:pt>
                <c:pt idx="28">
                  <c:v>-6.6988404166666626</c:v>
                </c:pt>
                <c:pt idx="29">
                  <c:v>-5.8527666666666667</c:v>
                </c:pt>
                <c:pt idx="30">
                  <c:v>-6.5880524999999999</c:v>
                </c:pt>
                <c:pt idx="31">
                  <c:v>-5.612650333333332</c:v>
                </c:pt>
                <c:pt idx="32">
                  <c:v>-8.0550804166666747</c:v>
                </c:pt>
                <c:pt idx="33">
                  <c:v>-5.0211533333333334</c:v>
                </c:pt>
                <c:pt idx="34">
                  <c:v>-5.1458788333333327</c:v>
                </c:pt>
                <c:pt idx="35">
                  <c:v>-4.4820089166666675</c:v>
                </c:pt>
                <c:pt idx="36">
                  <c:v>-5.2205930833333341</c:v>
                </c:pt>
                <c:pt idx="37">
                  <c:v>-5.7084608749999974</c:v>
                </c:pt>
                <c:pt idx="38">
                  <c:v>-5.9601186666666655</c:v>
                </c:pt>
                <c:pt idx="39">
                  <c:v>-5.2439573333333334</c:v>
                </c:pt>
                <c:pt idx="40">
                  <c:v>-5.557021166666666</c:v>
                </c:pt>
                <c:pt idx="41">
                  <c:v>-4.9762526666666682</c:v>
                </c:pt>
                <c:pt idx="42">
                  <c:v>-7.9455374999999995</c:v>
                </c:pt>
                <c:pt idx="43">
                  <c:v>-8.2538400000000021</c:v>
                </c:pt>
                <c:pt idx="44">
                  <c:v>-5.3052349999999979</c:v>
                </c:pt>
                <c:pt idx="45">
                  <c:v>-5.3039084583333329</c:v>
                </c:pt>
                <c:pt idx="46">
                  <c:v>-5.0386001249999994</c:v>
                </c:pt>
                <c:pt idx="47">
                  <c:v>-5.6206247499999966</c:v>
                </c:pt>
                <c:pt idx="48">
                  <c:v>-6.2281814166666658</c:v>
                </c:pt>
                <c:pt idx="49">
                  <c:v>-6.1202645833333333</c:v>
                </c:pt>
                <c:pt idx="50">
                  <c:v>-5.5065400416666686</c:v>
                </c:pt>
                <c:pt idx="51">
                  <c:v>-7.3979377916666662</c:v>
                </c:pt>
                <c:pt idx="52">
                  <c:v>-2.0813134583333346</c:v>
                </c:pt>
              </c:numCache>
            </c:numRef>
          </c:xVal>
          <c:yVal>
            <c:numRef>
              <c:f>USED!$F$2:$F$54</c:f>
              <c:numCache>
                <c:formatCode>General</c:formatCode>
                <c:ptCount val="53"/>
                <c:pt idx="0">
                  <c:v>-5.2841999999999967</c:v>
                </c:pt>
                <c:pt idx="1">
                  <c:v>-14.586250666666666</c:v>
                </c:pt>
                <c:pt idx="2">
                  <c:v>16.733549333333315</c:v>
                </c:pt>
                <c:pt idx="3">
                  <c:v>-43.502992000000013</c:v>
                </c:pt>
                <c:pt idx="4">
                  <c:v>-15.287240000000001</c:v>
                </c:pt>
                <c:pt idx="5">
                  <c:v>-24.202199999999984</c:v>
                </c:pt>
                <c:pt idx="6">
                  <c:v>-21.287426666666661</c:v>
                </c:pt>
                <c:pt idx="7">
                  <c:v>-14.645106666666665</c:v>
                </c:pt>
                <c:pt idx="8">
                  <c:v>-15.79172</c:v>
                </c:pt>
                <c:pt idx="9">
                  <c:v>-10.718570666666668</c:v>
                </c:pt>
                <c:pt idx="10">
                  <c:v>-29.465101333333312</c:v>
                </c:pt>
                <c:pt idx="11">
                  <c:v>-27.657952000000023</c:v>
                </c:pt>
                <c:pt idx="12">
                  <c:v>-26.828247999999984</c:v>
                </c:pt>
                <c:pt idx="13">
                  <c:v>-30.541367999999988</c:v>
                </c:pt>
                <c:pt idx="14">
                  <c:v>-57.960352000000036</c:v>
                </c:pt>
                <c:pt idx="15">
                  <c:v>-28.372690666666664</c:v>
                </c:pt>
                <c:pt idx="16">
                  <c:v>-20.284546666666657</c:v>
                </c:pt>
                <c:pt idx="17">
                  <c:v>-30.877701333333324</c:v>
                </c:pt>
                <c:pt idx="18">
                  <c:v>-11.625981333333334</c:v>
                </c:pt>
                <c:pt idx="19">
                  <c:v>-25.439864000000007</c:v>
                </c:pt>
                <c:pt idx="20">
                  <c:v>-22.483888</c:v>
                </c:pt>
                <c:pt idx="21">
                  <c:v>-32.579432000000004</c:v>
                </c:pt>
                <c:pt idx="22">
                  <c:v>-29.243871999999993</c:v>
                </c:pt>
                <c:pt idx="23">
                  <c:v>-23.285344000000002</c:v>
                </c:pt>
                <c:pt idx="24">
                  <c:v>-22.740295999999987</c:v>
                </c:pt>
                <c:pt idx="25">
                  <c:v>-8.2826240000000002</c:v>
                </c:pt>
                <c:pt idx="26">
                  <c:v>-22.568848000000003</c:v>
                </c:pt>
                <c:pt idx="27">
                  <c:v>-20.549631999999995</c:v>
                </c:pt>
                <c:pt idx="28">
                  <c:v>-39.63164800000002</c:v>
                </c:pt>
                <c:pt idx="29">
                  <c:v>-27.146122666666663</c:v>
                </c:pt>
                <c:pt idx="30">
                  <c:v>-38.022669333333354</c:v>
                </c:pt>
                <c:pt idx="31">
                  <c:v>-29.565901333333326</c:v>
                </c:pt>
                <c:pt idx="32">
                  <c:v>-49.025392000000039</c:v>
                </c:pt>
                <c:pt idx="33">
                  <c:v>-18.896464000000005</c:v>
                </c:pt>
                <c:pt idx="34">
                  <c:v>-20.506306666666667</c:v>
                </c:pt>
                <c:pt idx="35">
                  <c:v>-19.164546666666631</c:v>
                </c:pt>
                <c:pt idx="36">
                  <c:v>-21.600487999999999</c:v>
                </c:pt>
                <c:pt idx="37">
                  <c:v>-28.777864000000008</c:v>
                </c:pt>
                <c:pt idx="38">
                  <c:v>-33.633648000000001</c:v>
                </c:pt>
                <c:pt idx="39">
                  <c:v>-26.680210666666675</c:v>
                </c:pt>
                <c:pt idx="40">
                  <c:v>-32.221984000000006</c:v>
                </c:pt>
                <c:pt idx="41">
                  <c:v>-21.702535999999991</c:v>
                </c:pt>
                <c:pt idx="42">
                  <c:v>-48.246592000000014</c:v>
                </c:pt>
                <c:pt idx="43">
                  <c:v>-53.978560000000009</c:v>
                </c:pt>
                <c:pt idx="44">
                  <c:v>-23.766173333333313</c:v>
                </c:pt>
                <c:pt idx="45">
                  <c:v>-24.809330666666668</c:v>
                </c:pt>
                <c:pt idx="46">
                  <c:v>-22.791047999999989</c:v>
                </c:pt>
                <c:pt idx="47">
                  <c:v>-33.871477333333324</c:v>
                </c:pt>
                <c:pt idx="48">
                  <c:v>-37.347487999999991</c:v>
                </c:pt>
                <c:pt idx="49">
                  <c:v>-36.28110933333334</c:v>
                </c:pt>
                <c:pt idx="50">
                  <c:v>-30.773770666666671</c:v>
                </c:pt>
                <c:pt idx="51">
                  <c:v>-48.06336000000001</c:v>
                </c:pt>
                <c:pt idx="52">
                  <c:v>13.951082666666673</c:v>
                </c:pt>
              </c:numCache>
            </c:numRef>
          </c:yVal>
        </c:ser>
        <c:ser>
          <c:idx val="2"/>
          <c:order val="2"/>
          <c:tx>
            <c:v>GMWL</c:v>
          </c:tx>
          <c:spPr>
            <a:ln w="28575">
              <a:noFill/>
            </a:ln>
          </c:spPr>
          <c:marker>
            <c:symbol val="none"/>
          </c:marker>
          <c:trendline>
            <c:spPr>
              <a:ln w="19050"/>
            </c:spPr>
            <c:trendlineType val="linear"/>
          </c:trendline>
          <c:xVal>
            <c:numRef>
              <c:f>USED!$G$2:$G$54</c:f>
              <c:numCache>
                <c:formatCode>General</c:formatCode>
                <c:ptCount val="53"/>
                <c:pt idx="0">
                  <c:v>-4.0539416666666659</c:v>
                </c:pt>
                <c:pt idx="1">
                  <c:v>-4.9543255416666661</c:v>
                </c:pt>
                <c:pt idx="2">
                  <c:v>-2.8245205416666685</c:v>
                </c:pt>
                <c:pt idx="3">
                  <c:v>-6.8595391666666625</c:v>
                </c:pt>
                <c:pt idx="4">
                  <c:v>-5.0610675416666684</c:v>
                </c:pt>
                <c:pt idx="5">
                  <c:v>-5.3276707916666695</c:v>
                </c:pt>
                <c:pt idx="6">
                  <c:v>-5.228858916666665</c:v>
                </c:pt>
                <c:pt idx="7">
                  <c:v>-4.796855916666666</c:v>
                </c:pt>
                <c:pt idx="8">
                  <c:v>-5.1400750833333344</c:v>
                </c:pt>
                <c:pt idx="9">
                  <c:v>-4.486909708333334</c:v>
                </c:pt>
                <c:pt idx="10">
                  <c:v>-5.1782941666666673</c:v>
                </c:pt>
                <c:pt idx="11">
                  <c:v>-5.7304091666666679</c:v>
                </c:pt>
                <c:pt idx="12">
                  <c:v>-5.087139333333333</c:v>
                </c:pt>
                <c:pt idx="13">
                  <c:v>-5.2155676666666668</c:v>
                </c:pt>
                <c:pt idx="14">
                  <c:v>-8.778210416666667</c:v>
                </c:pt>
                <c:pt idx="15">
                  <c:v>-5.1877066666666654</c:v>
                </c:pt>
                <c:pt idx="16">
                  <c:v>-4.8431254999999984</c:v>
                </c:pt>
                <c:pt idx="17">
                  <c:v>-5.4592886666666676</c:v>
                </c:pt>
                <c:pt idx="18">
                  <c:v>-3.9806058333333327</c:v>
                </c:pt>
                <c:pt idx="19">
                  <c:v>-5.0611189999999979</c:v>
                </c:pt>
                <c:pt idx="20">
                  <c:v>-5.1572762499999953</c:v>
                </c:pt>
                <c:pt idx="21">
                  <c:v>-4.8100369999999977</c:v>
                </c:pt>
                <c:pt idx="22">
                  <c:v>-5.3343208333333338</c:v>
                </c:pt>
                <c:pt idx="23">
                  <c:v>-5.1405270833333363</c:v>
                </c:pt>
                <c:pt idx="24">
                  <c:v>-3.9483979999999992</c:v>
                </c:pt>
                <c:pt idx="25">
                  <c:v>-2.8977148333333331</c:v>
                </c:pt>
                <c:pt idx="26">
                  <c:v>-5.2929529166666676</c:v>
                </c:pt>
                <c:pt idx="27">
                  <c:v>-5.0134775000000005</c:v>
                </c:pt>
                <c:pt idx="28">
                  <c:v>-6.3988404166666628</c:v>
                </c:pt>
                <c:pt idx="29">
                  <c:v>-5.5527666666666669</c:v>
                </c:pt>
                <c:pt idx="30">
                  <c:v>-6.2880525</c:v>
                </c:pt>
                <c:pt idx="31">
                  <c:v>-5.3126503333333321</c:v>
                </c:pt>
                <c:pt idx="32">
                  <c:v>-7.7550804166666669</c:v>
                </c:pt>
                <c:pt idx="33">
                  <c:v>-4.7211533333333353</c:v>
                </c:pt>
                <c:pt idx="34">
                  <c:v>-4.8458788333333329</c:v>
                </c:pt>
                <c:pt idx="35">
                  <c:v>-4.1820089166666659</c:v>
                </c:pt>
                <c:pt idx="36">
                  <c:v>-4.920593083333336</c:v>
                </c:pt>
                <c:pt idx="37">
                  <c:v>-5.4084608749999985</c:v>
                </c:pt>
                <c:pt idx="38">
                  <c:v>-5.6601186666666647</c:v>
                </c:pt>
                <c:pt idx="39">
                  <c:v>-4.9439573333333344</c:v>
                </c:pt>
                <c:pt idx="40">
                  <c:v>-5.2570211666666662</c:v>
                </c:pt>
                <c:pt idx="41">
                  <c:v>-4.6762526666666684</c:v>
                </c:pt>
                <c:pt idx="42">
                  <c:v>-7.6455374999999988</c:v>
                </c:pt>
                <c:pt idx="43">
                  <c:v>-7.9538400000000014</c:v>
                </c:pt>
                <c:pt idx="44">
                  <c:v>-5.0052349999999981</c:v>
                </c:pt>
                <c:pt idx="45">
                  <c:v>-5.0039084583333331</c:v>
                </c:pt>
                <c:pt idx="46">
                  <c:v>-4.7386001250000023</c:v>
                </c:pt>
                <c:pt idx="47">
                  <c:v>-5.3206247499999977</c:v>
                </c:pt>
                <c:pt idx="48">
                  <c:v>-5.928181416666666</c:v>
                </c:pt>
                <c:pt idx="49">
                  <c:v>-5.8202645833333344</c:v>
                </c:pt>
                <c:pt idx="50">
                  <c:v>-5.2065400416666687</c:v>
                </c:pt>
                <c:pt idx="51">
                  <c:v>-7.0979377916666664</c:v>
                </c:pt>
                <c:pt idx="52">
                  <c:v>-1.7813134583333334</c:v>
                </c:pt>
              </c:numCache>
            </c:numRef>
          </c:xVal>
          <c:yVal>
            <c:numRef>
              <c:f>USED!$H$2:$H$54</c:f>
              <c:numCache>
                <c:formatCode>General</c:formatCode>
                <c:ptCount val="53"/>
                <c:pt idx="0">
                  <c:v>-7.6841999999999953</c:v>
                </c:pt>
                <c:pt idx="1">
                  <c:v>-16.986250666666663</c:v>
                </c:pt>
                <c:pt idx="2">
                  <c:v>14.333549333333341</c:v>
                </c:pt>
                <c:pt idx="3">
                  <c:v>-45.902992000000012</c:v>
                </c:pt>
                <c:pt idx="4">
                  <c:v>-17.687239999999992</c:v>
                </c:pt>
                <c:pt idx="5">
                  <c:v>-26.602199999999989</c:v>
                </c:pt>
                <c:pt idx="6">
                  <c:v>-23.687426666666667</c:v>
                </c:pt>
                <c:pt idx="7">
                  <c:v>-17.045106666666662</c:v>
                </c:pt>
                <c:pt idx="8">
                  <c:v>-18.19172</c:v>
                </c:pt>
                <c:pt idx="9">
                  <c:v>-13.118570666666669</c:v>
                </c:pt>
                <c:pt idx="10">
                  <c:v>-31.865101333333314</c:v>
                </c:pt>
                <c:pt idx="11">
                  <c:v>-30.057952000000014</c:v>
                </c:pt>
                <c:pt idx="12">
                  <c:v>-29.228247999999983</c:v>
                </c:pt>
                <c:pt idx="13">
                  <c:v>-32.94136799999999</c:v>
                </c:pt>
                <c:pt idx="14">
                  <c:v>-60.360352000000034</c:v>
                </c:pt>
                <c:pt idx="15">
                  <c:v>-30.772690666666662</c:v>
                </c:pt>
                <c:pt idx="16">
                  <c:v>-22.684546666666662</c:v>
                </c:pt>
                <c:pt idx="17">
                  <c:v>-33.277701333333326</c:v>
                </c:pt>
                <c:pt idx="18">
                  <c:v>-14.025981333333334</c:v>
                </c:pt>
                <c:pt idx="19">
                  <c:v>-27.839864000000009</c:v>
                </c:pt>
                <c:pt idx="20">
                  <c:v>-24.883887999999999</c:v>
                </c:pt>
                <c:pt idx="21">
                  <c:v>-34.979431999999989</c:v>
                </c:pt>
                <c:pt idx="22">
                  <c:v>-31.643871999999991</c:v>
                </c:pt>
                <c:pt idx="23">
                  <c:v>-25.685344000000001</c:v>
                </c:pt>
                <c:pt idx="24">
                  <c:v>-25.140295999999992</c:v>
                </c:pt>
                <c:pt idx="25">
                  <c:v>-10.682624000000002</c:v>
                </c:pt>
                <c:pt idx="26">
                  <c:v>-24.968847999999991</c:v>
                </c:pt>
                <c:pt idx="27">
                  <c:v>-22.949631999999987</c:v>
                </c:pt>
                <c:pt idx="28">
                  <c:v>-42.031648000000004</c:v>
                </c:pt>
                <c:pt idx="29">
                  <c:v>-29.546122666666662</c:v>
                </c:pt>
                <c:pt idx="30">
                  <c:v>-40.422669333333346</c:v>
                </c:pt>
                <c:pt idx="31">
                  <c:v>-31.965901333333317</c:v>
                </c:pt>
                <c:pt idx="32">
                  <c:v>-51.425392000000038</c:v>
                </c:pt>
                <c:pt idx="33">
                  <c:v>-21.296464</c:v>
                </c:pt>
                <c:pt idx="34">
                  <c:v>-22.906306666666666</c:v>
                </c:pt>
                <c:pt idx="35">
                  <c:v>-21.564546666666633</c:v>
                </c:pt>
                <c:pt idx="36">
                  <c:v>-24.00048799999999</c:v>
                </c:pt>
                <c:pt idx="37">
                  <c:v>-31.177864000000014</c:v>
                </c:pt>
                <c:pt idx="38">
                  <c:v>-36.033647999999999</c:v>
                </c:pt>
                <c:pt idx="39">
                  <c:v>-29.080210666666673</c:v>
                </c:pt>
                <c:pt idx="40">
                  <c:v>-34.621984000000005</c:v>
                </c:pt>
                <c:pt idx="41">
                  <c:v>-24.102535999999994</c:v>
                </c:pt>
                <c:pt idx="42">
                  <c:v>-50.646592000000012</c:v>
                </c:pt>
                <c:pt idx="43">
                  <c:v>-56.378560000000007</c:v>
                </c:pt>
                <c:pt idx="44">
                  <c:v>-26.166173333333319</c:v>
                </c:pt>
                <c:pt idx="45">
                  <c:v>-27.209330666666666</c:v>
                </c:pt>
                <c:pt idx="46">
                  <c:v>-25.191047999999988</c:v>
                </c:pt>
                <c:pt idx="47">
                  <c:v>-36.271477333333344</c:v>
                </c:pt>
                <c:pt idx="48">
                  <c:v>-39.747488000000004</c:v>
                </c:pt>
                <c:pt idx="49">
                  <c:v>-38.681109333333325</c:v>
                </c:pt>
                <c:pt idx="50">
                  <c:v>-33.173770666666648</c:v>
                </c:pt>
                <c:pt idx="51">
                  <c:v>-50.463360000000009</c:v>
                </c:pt>
                <c:pt idx="52">
                  <c:v>11.551082666666673</c:v>
                </c:pt>
              </c:numCache>
            </c:numRef>
          </c:yVal>
        </c:ser>
        <c:ser>
          <c:idx val="3"/>
          <c:order val="3"/>
          <c:tx>
            <c:v>Deep well</c:v>
          </c:tx>
          <c:spPr>
            <a:ln w="28575">
              <a:noFill/>
            </a:ln>
          </c:spPr>
          <c:marker>
            <c:symbol val="square"/>
            <c:size val="6"/>
            <c:spPr>
              <a:solidFill>
                <a:srgbClr val="FF33CC"/>
              </a:solidFill>
              <a:ln>
                <a:solidFill>
                  <a:sysClr val="windowText" lastClr="000000"/>
                </a:solidFill>
              </a:ln>
            </c:spPr>
          </c:marker>
          <c:xVal>
            <c:numRef>
              <c:f>USED!$B$37:$B$52</c:f>
              <c:numCache>
                <c:formatCode>General</c:formatCode>
                <c:ptCount val="16"/>
                <c:pt idx="0">
                  <c:v>-3.9455683333333287</c:v>
                </c:pt>
                <c:pt idx="1">
                  <c:v>-4.2500609999999996</c:v>
                </c:pt>
                <c:pt idx="2">
                  <c:v>-5.1472329999999982</c:v>
                </c:pt>
                <c:pt idx="3">
                  <c:v>-5.7542059999999982</c:v>
                </c:pt>
                <c:pt idx="4">
                  <c:v>-4.8850263333333359</c:v>
                </c:pt>
                <c:pt idx="5">
                  <c:v>-5.5777479999999988</c:v>
                </c:pt>
                <c:pt idx="6">
                  <c:v>-4.2628169999999974</c:v>
                </c:pt>
                <c:pt idx="7">
                  <c:v>-7.5808239999999998</c:v>
                </c:pt>
                <c:pt idx="8">
                  <c:v>-8.2973199999999991</c:v>
                </c:pt>
                <c:pt idx="9">
                  <c:v>-4.5207716666666657</c:v>
                </c:pt>
                <c:pt idx="10">
                  <c:v>-4.6511663333333333</c:v>
                </c:pt>
                <c:pt idx="11">
                  <c:v>-4.3988809999999967</c:v>
                </c:pt>
                <c:pt idx="12">
                  <c:v>-5.7839346666666662</c:v>
                </c:pt>
                <c:pt idx="13">
                  <c:v>-6.2184360000000005</c:v>
                </c:pt>
                <c:pt idx="14">
                  <c:v>-6.0851386666666665</c:v>
                </c:pt>
                <c:pt idx="15">
                  <c:v>-5.3967213333333364</c:v>
                </c:pt>
              </c:numCache>
            </c:numRef>
          </c:xVal>
          <c:yVal>
            <c:numRef>
              <c:f>USED!$C$37:$C$52</c:f>
              <c:numCache>
                <c:formatCode>General</c:formatCode>
                <c:ptCount val="16"/>
                <c:pt idx="0">
                  <c:v>-23.45607133333332</c:v>
                </c:pt>
                <c:pt idx="1">
                  <c:v>-29.36474466666666</c:v>
                </c:pt>
                <c:pt idx="2">
                  <c:v>-33.267686999999995</c:v>
                </c:pt>
                <c:pt idx="3">
                  <c:v>-35.280949333333325</c:v>
                </c:pt>
                <c:pt idx="4">
                  <c:v>-29.551658666666668</c:v>
                </c:pt>
                <c:pt idx="5">
                  <c:v>-32.056169333333315</c:v>
                </c:pt>
                <c:pt idx="6">
                  <c:v>-27.410021333333322</c:v>
                </c:pt>
                <c:pt idx="7">
                  <c:v>-51.164300000000011</c:v>
                </c:pt>
                <c:pt idx="8">
                  <c:v>-53.630720000000011</c:v>
                </c:pt>
                <c:pt idx="9">
                  <c:v>-30.041879999999999</c:v>
                </c:pt>
                <c:pt idx="10">
                  <c:v>-30.031267666666672</c:v>
                </c:pt>
                <c:pt idx="11">
                  <c:v>-27.90880099999999</c:v>
                </c:pt>
                <c:pt idx="12">
                  <c:v>-32.564998000000003</c:v>
                </c:pt>
                <c:pt idx="13">
                  <c:v>-37.425451333333328</c:v>
                </c:pt>
                <c:pt idx="14">
                  <c:v>-36.562116666666654</c:v>
                </c:pt>
                <c:pt idx="15">
                  <c:v>-31.652320333333318</c:v>
                </c:pt>
              </c:numCache>
            </c:numRef>
          </c:yVal>
        </c:ser>
        <c:ser>
          <c:idx val="4"/>
          <c:order val="4"/>
          <c:tx>
            <c:v>Dam water</c:v>
          </c:tx>
          <c:spPr>
            <a:ln w="28575">
              <a:noFill/>
            </a:ln>
          </c:spPr>
          <c:marker>
            <c:symbol val="diamond"/>
            <c:size val="7"/>
            <c:spPr>
              <a:solidFill>
                <a:srgbClr val="FF6600"/>
              </a:solidFill>
              <a:ln>
                <a:solidFill>
                  <a:schemeClr val="tx1"/>
                </a:solidFill>
              </a:ln>
            </c:spPr>
          </c:marker>
          <c:xVal>
            <c:numRef>
              <c:f>USED!$B$34:$B$36</c:f>
              <c:numCache>
                <c:formatCode>General</c:formatCode>
                <c:ptCount val="3"/>
                <c:pt idx="0">
                  <c:v>-7.6781740000000003</c:v>
                </c:pt>
                <c:pt idx="1">
                  <c:v>-3.9120579999999983</c:v>
                </c:pt>
                <c:pt idx="2">
                  <c:v>-4.1132883333333332</c:v>
                </c:pt>
              </c:numCache>
            </c:numRef>
          </c:xVal>
          <c:yVal>
            <c:numRef>
              <c:f>USED!$C$34:$C$36</c:f>
              <c:numCache>
                <c:formatCode>General</c:formatCode>
                <c:ptCount val="3"/>
                <c:pt idx="0">
                  <c:v>-52.040643333333321</c:v>
                </c:pt>
                <c:pt idx="1">
                  <c:v>-27.769226666666658</c:v>
                </c:pt>
                <c:pt idx="2">
                  <c:v>-28.767030666666663</c:v>
                </c:pt>
              </c:numCache>
            </c:numRef>
          </c:yVal>
        </c:ser>
        <c:ser>
          <c:idx val="5"/>
          <c:order val="5"/>
          <c:tx>
            <c:v>River water</c:v>
          </c:tx>
          <c:spPr>
            <a:ln w="28575">
              <a:noFill/>
            </a:ln>
          </c:spPr>
          <c:marker>
            <c:spPr>
              <a:solidFill>
                <a:srgbClr val="00FF00"/>
              </a:solidFill>
              <a:ln>
                <a:solidFill>
                  <a:sysClr val="windowText" lastClr="000000"/>
                </a:solidFill>
              </a:ln>
            </c:spPr>
          </c:marker>
          <c:xVal>
            <c:numRef>
              <c:f>USED!$B$53:$B$54</c:f>
              <c:numCache>
                <c:formatCode>General</c:formatCode>
                <c:ptCount val="2"/>
                <c:pt idx="0">
                  <c:v>-7.5579199999999993</c:v>
                </c:pt>
                <c:pt idx="1">
                  <c:v>0.19388533333333346</c:v>
                </c:pt>
              </c:numCache>
            </c:numRef>
          </c:xVal>
          <c:yVal>
            <c:numRef>
              <c:f>USED!$C$53:$C$54</c:f>
              <c:numCache>
                <c:formatCode>General</c:formatCode>
                <c:ptCount val="2"/>
                <c:pt idx="0">
                  <c:v>-46.783502333333331</c:v>
                </c:pt>
                <c:pt idx="1">
                  <c:v>-4.2505076666666666</c:v>
                </c:pt>
              </c:numCache>
            </c:numRef>
          </c:yVal>
        </c:ser>
        <c:ser>
          <c:idx val="6"/>
          <c:order val="6"/>
          <c:spPr>
            <a:ln w="28575">
              <a:noFill/>
            </a:ln>
          </c:spPr>
          <c:marker>
            <c:symbol val="none"/>
          </c:marker>
          <c:trendline>
            <c:spPr>
              <a:ln w="18923" cmpd="sng">
                <a:prstDash val="solid"/>
              </a:ln>
            </c:spPr>
            <c:trendlineType val="linear"/>
          </c:trendline>
          <c:xVal>
            <c:numRef>
              <c:f>USED!$Q$4:$Q$13</c:f>
              <c:numCache>
                <c:formatCode>General</c:formatCode>
                <c:ptCount val="10"/>
                <c:pt idx="0">
                  <c:v>-2.2105249999999996</c:v>
                </c:pt>
                <c:pt idx="1">
                  <c:v>-3.3732813333333329</c:v>
                </c:pt>
                <c:pt idx="2">
                  <c:v>0.54169366666666741</c:v>
                </c:pt>
                <c:pt idx="3">
                  <c:v>-3.4609049999999999</c:v>
                </c:pt>
                <c:pt idx="4">
                  <c:v>-2.8898213333333338</c:v>
                </c:pt>
                <c:pt idx="5">
                  <c:v>-3.0032476666666672</c:v>
                </c:pt>
                <c:pt idx="6">
                  <c:v>-2.5853280000000001</c:v>
                </c:pt>
                <c:pt idx="7">
                  <c:v>-3.3806383333333327</c:v>
                </c:pt>
                <c:pt idx="8">
                  <c:v>-3.523965</c:v>
                </c:pt>
                <c:pt idx="9">
                  <c:v>0.19388533333333346</c:v>
                </c:pt>
              </c:numCache>
            </c:numRef>
          </c:xVal>
          <c:yVal>
            <c:numRef>
              <c:f>USED!$R$4:$R$13</c:f>
              <c:numCache>
                <c:formatCode>General</c:formatCode>
                <c:ptCount val="10"/>
                <c:pt idx="0">
                  <c:v>-22.431533333333313</c:v>
                </c:pt>
                <c:pt idx="1">
                  <c:v>-29.634604333333325</c:v>
                </c:pt>
                <c:pt idx="2">
                  <c:v>-12.596164333333334</c:v>
                </c:pt>
                <c:pt idx="3">
                  <c:v>-30.488540333333308</c:v>
                </c:pt>
                <c:pt idx="4">
                  <c:v>-25.895277666666665</c:v>
                </c:pt>
                <c:pt idx="5">
                  <c:v>-21.844846666666665</c:v>
                </c:pt>
                <c:pt idx="6">
                  <c:v>-13.181718666666665</c:v>
                </c:pt>
                <c:pt idx="7">
                  <c:v>-28.374847333333321</c:v>
                </c:pt>
                <c:pt idx="8">
                  <c:v>-31.120600666666665</c:v>
                </c:pt>
                <c:pt idx="9">
                  <c:v>-4.2505076666666666</c:v>
                </c:pt>
              </c:numCache>
            </c:numRef>
          </c:yVal>
        </c:ser>
        <c:axId val="66212224"/>
        <c:axId val="66214144"/>
      </c:scatterChart>
      <c:valAx>
        <c:axId val="66212224"/>
        <c:scaling>
          <c:orientation val="minMax"/>
        </c:scaling>
        <c:axPos val="b"/>
        <c:title>
          <c:tx>
            <c:rich>
              <a:bodyPr/>
              <a:lstStyle/>
              <a:p>
                <a:pPr>
                  <a:defRPr/>
                </a:pPr>
                <a:r>
                  <a:rPr lang="el-GR" sz="1100" b="1" i="0" baseline="0">
                    <a:latin typeface="+mn-lt"/>
                  </a:rPr>
                  <a:t>δ18</a:t>
                </a:r>
                <a:r>
                  <a:rPr lang="fr-FR" sz="1100" b="1" i="0" baseline="0">
                    <a:latin typeface="+mn-lt"/>
                  </a:rPr>
                  <a:t>O (</a:t>
                </a:r>
                <a:r>
                  <a:rPr lang="en-US" sz="1100" b="1" i="0" baseline="0">
                    <a:latin typeface="+mn-lt"/>
                  </a:rPr>
                  <a:t>‰</a:t>
                </a:r>
                <a:r>
                  <a:rPr lang="fr-FR" sz="1100" b="1" i="0" baseline="0">
                    <a:latin typeface="+mn-lt"/>
                  </a:rPr>
                  <a:t>SMOW)</a:t>
                </a:r>
              </a:p>
            </c:rich>
          </c:tx>
        </c:title>
        <c:numFmt formatCode="General" sourceLinked="1"/>
        <c:tickLblPos val="nextTo"/>
        <c:crossAx val="66214144"/>
        <c:crossesAt val="-80"/>
        <c:crossBetween val="midCat"/>
      </c:valAx>
      <c:valAx>
        <c:axId val="66214144"/>
        <c:scaling>
          <c:orientation val="minMax"/>
        </c:scaling>
        <c:axPos val="l"/>
        <c:title>
          <c:tx>
            <c:rich>
              <a:bodyPr rot="-5400000" vert="horz"/>
              <a:lstStyle/>
              <a:p>
                <a:pPr>
                  <a:defRPr/>
                </a:pPr>
                <a:r>
                  <a:rPr lang="el-GR" sz="1100" b="1" i="0" baseline="0">
                    <a:latin typeface="+mn-lt"/>
                  </a:rPr>
                  <a:t>δ</a:t>
                </a:r>
                <a:r>
                  <a:rPr lang="fr-FR" sz="1100" b="1" i="0" baseline="0">
                    <a:latin typeface="+mn-lt"/>
                  </a:rPr>
                  <a:t>D (</a:t>
                </a:r>
                <a:r>
                  <a:rPr lang="en-US" sz="1100" b="1" i="0" baseline="0">
                    <a:latin typeface="+mn-lt"/>
                  </a:rPr>
                  <a:t>‰</a:t>
                </a:r>
                <a:r>
                  <a:rPr lang="fr-FR" sz="1100" b="1" i="0" baseline="0">
                    <a:latin typeface="+mn-lt"/>
                  </a:rPr>
                  <a:t>SMOW)</a:t>
                </a:r>
                <a:endParaRPr lang="fr-FR" sz="1100">
                  <a:latin typeface="+mn-lt"/>
                </a:endParaRPr>
              </a:p>
            </c:rich>
          </c:tx>
        </c:title>
        <c:numFmt formatCode="General" sourceLinked="1"/>
        <c:minorTickMark val="out"/>
        <c:tickLblPos val="nextTo"/>
        <c:crossAx val="66212224"/>
        <c:crossesAt val="-70"/>
        <c:crossBetween val="midCat"/>
      </c:valAx>
    </c:plotArea>
    <c:legend>
      <c:legendPos val="r"/>
      <c:legendEntry>
        <c:idx val="1"/>
        <c:delete val="1"/>
      </c:legendEntry>
      <c:legendEntry>
        <c:idx val="2"/>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16218197725284325"/>
          <c:y val="2.6626202974628199E-2"/>
          <c:w val="0.18781802274715681"/>
          <c:h val="0.29396981627296626"/>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6643285214348225"/>
          <c:y val="5.1400554097404488E-2"/>
          <c:w val="0.76092979002624661"/>
          <c:h val="0.74530839895013112"/>
        </c:manualLayout>
      </c:layout>
      <c:scatterChart>
        <c:scatterStyle val="lineMarker"/>
        <c:ser>
          <c:idx val="0"/>
          <c:order val="0"/>
          <c:tx>
            <c:v>Shallow well</c:v>
          </c:tx>
          <c:spPr>
            <a:ln w="28575">
              <a:noFill/>
            </a:ln>
          </c:spPr>
          <c:marker>
            <c:symbol val="triangle"/>
            <c:size val="7"/>
            <c:spPr>
              <a:solidFill>
                <a:srgbClr val="FFFF00"/>
              </a:solidFill>
              <a:ln>
                <a:solidFill>
                  <a:schemeClr val="tx1"/>
                </a:solidFill>
              </a:ln>
            </c:spPr>
          </c:marker>
          <c:xVal>
            <c:numRef>
              <c:f>USED!$E$59:$E$90</c:f>
              <c:numCache>
                <c:formatCode>General</c:formatCode>
                <c:ptCount val="32"/>
                <c:pt idx="0">
                  <c:v>-5.0965863333333328</c:v>
                </c:pt>
                <c:pt idx="1">
                  <c:v>-4.7299829999999981</c:v>
                </c:pt>
                <c:pt idx="2">
                  <c:v>-5.2054839999999976</c:v>
                </c:pt>
                <c:pt idx="3">
                  <c:v>-5.233137666666666</c:v>
                </c:pt>
                <c:pt idx="4">
                  <c:v>-4.2109283333333334</c:v>
                </c:pt>
                <c:pt idx="5">
                  <c:v>-2.8898213333333338</c:v>
                </c:pt>
                <c:pt idx="6">
                  <c:v>-5.4097126666666684</c:v>
                </c:pt>
                <c:pt idx="7">
                  <c:v>-4.9035309999999974</c:v>
                </c:pt>
                <c:pt idx="8">
                  <c:v>-5.2457376666666669</c:v>
                </c:pt>
                <c:pt idx="9">
                  <c:v>-4.3925369999999955</c:v>
                </c:pt>
                <c:pt idx="10">
                  <c:v>-8.7950440000000025</c:v>
                </c:pt>
                <c:pt idx="11">
                  <c:v>-4.0855683333333346</c:v>
                </c:pt>
                <c:pt idx="12">
                  <c:v>-4.4606680000000027</c:v>
                </c:pt>
                <c:pt idx="13">
                  <c:v>-2.5853280000000001</c:v>
                </c:pt>
                <c:pt idx="14">
                  <c:v>-4.3711060000000002</c:v>
                </c:pt>
                <c:pt idx="15">
                  <c:v>-4.9432653333333372</c:v>
                </c:pt>
                <c:pt idx="16">
                  <c:v>-5.367670999999997</c:v>
                </c:pt>
                <c:pt idx="17">
                  <c:v>-2.2105249999999996</c:v>
                </c:pt>
                <c:pt idx="18">
                  <c:v>-3.4609049999999999</c:v>
                </c:pt>
                <c:pt idx="19">
                  <c:v>-3.0032476666666672</c:v>
                </c:pt>
                <c:pt idx="20">
                  <c:v>-5.0072440000000009</c:v>
                </c:pt>
                <c:pt idx="21">
                  <c:v>-3.3732813333333329</c:v>
                </c:pt>
                <c:pt idx="22">
                  <c:v>0.54169366666666741</c:v>
                </c:pt>
                <c:pt idx="23">
                  <c:v>-4.5752749999999995</c:v>
                </c:pt>
                <c:pt idx="24">
                  <c:v>-3.3806383333333327</c:v>
                </c:pt>
                <c:pt idx="25">
                  <c:v>-6.9878740000000015</c:v>
                </c:pt>
                <c:pt idx="26">
                  <c:v>-4.3604859999999963</c:v>
                </c:pt>
                <c:pt idx="27">
                  <c:v>-3.523965</c:v>
                </c:pt>
                <c:pt idx="28">
                  <c:v>-4.1187039999999984</c:v>
                </c:pt>
                <c:pt idx="29">
                  <c:v>-6.5039560000000005</c:v>
                </c:pt>
                <c:pt idx="30">
                  <c:v>-6.3028336666666682</c:v>
                </c:pt>
                <c:pt idx="31">
                  <c:v>-5.6224289999999968</c:v>
                </c:pt>
              </c:numCache>
            </c:numRef>
          </c:xVal>
          <c:yVal>
            <c:numRef>
              <c:f>USED!$D$59:$D$90</c:f>
              <c:numCache>
                <c:formatCode>General</c:formatCode>
                <c:ptCount val="32"/>
                <c:pt idx="0">
                  <c:v>36.632900978702402</c:v>
                </c:pt>
                <c:pt idx="1">
                  <c:v>98.503503604795497</c:v>
                </c:pt>
                <c:pt idx="2">
                  <c:v>16.848143763822286</c:v>
                </c:pt>
                <c:pt idx="3">
                  <c:v>36.031208365162186</c:v>
                </c:pt>
                <c:pt idx="4">
                  <c:v>6.0349475097320155</c:v>
                </c:pt>
                <c:pt idx="5">
                  <c:v>27.277660447320169</c:v>
                </c:pt>
                <c:pt idx="6">
                  <c:v>8.9766005277743321</c:v>
                </c:pt>
                <c:pt idx="7">
                  <c:v>9.6860485029506354</c:v>
                </c:pt>
                <c:pt idx="8">
                  <c:v>7.4144766352327212</c:v>
                </c:pt>
                <c:pt idx="9">
                  <c:v>6.8376943877715091</c:v>
                </c:pt>
                <c:pt idx="10">
                  <c:v>4.2680875565726355</c:v>
                </c:pt>
                <c:pt idx="11">
                  <c:v>66.820509346826469</c:v>
                </c:pt>
                <c:pt idx="12">
                  <c:v>26.151092240550071</c:v>
                </c:pt>
                <c:pt idx="13">
                  <c:v>78.393361410155109</c:v>
                </c:pt>
                <c:pt idx="14">
                  <c:v>13.435523185963325</c:v>
                </c:pt>
                <c:pt idx="15">
                  <c:v>28.956112390691104</c:v>
                </c:pt>
                <c:pt idx="16">
                  <c:v>19.976459236513385</c:v>
                </c:pt>
                <c:pt idx="17">
                  <c:v>118.25111078674189</c:v>
                </c:pt>
                <c:pt idx="18">
                  <c:v>49.721788631170661</c:v>
                </c:pt>
                <c:pt idx="19">
                  <c:v>99.637022473624768</c:v>
                </c:pt>
                <c:pt idx="20">
                  <c:v>7.8698075842482362</c:v>
                </c:pt>
                <c:pt idx="21">
                  <c:v>152.16125507165015</c:v>
                </c:pt>
                <c:pt idx="22">
                  <c:v>230.69995932806762</c:v>
                </c:pt>
                <c:pt idx="23">
                  <c:v>5.2698206339520466</c:v>
                </c:pt>
                <c:pt idx="24">
                  <c:v>17.48593483511987</c:v>
                </c:pt>
                <c:pt idx="25">
                  <c:v>6.5597411558533159</c:v>
                </c:pt>
                <c:pt idx="26">
                  <c:v>37.379448960366695</c:v>
                </c:pt>
                <c:pt idx="27">
                  <c:v>37.166197930747529</c:v>
                </c:pt>
                <c:pt idx="28">
                  <c:v>66.379899339774283</c:v>
                </c:pt>
                <c:pt idx="29">
                  <c:v>19.810572202327215</c:v>
                </c:pt>
                <c:pt idx="30">
                  <c:v>14.939180734961921</c:v>
                </c:pt>
                <c:pt idx="31">
                  <c:v>31.296891840691114</c:v>
                </c:pt>
              </c:numCache>
            </c:numRef>
          </c:yVal>
        </c:ser>
        <c:ser>
          <c:idx val="1"/>
          <c:order val="1"/>
          <c:tx>
            <c:v>Deep well</c:v>
          </c:tx>
          <c:spPr>
            <a:ln w="28575">
              <a:noFill/>
            </a:ln>
          </c:spPr>
          <c:marker>
            <c:symbol val="square"/>
            <c:size val="6"/>
            <c:spPr>
              <a:solidFill>
                <a:srgbClr val="FF33CC"/>
              </a:solidFill>
              <a:ln>
                <a:solidFill>
                  <a:sysClr val="windowText" lastClr="000000"/>
                </a:solidFill>
              </a:ln>
            </c:spPr>
          </c:marker>
          <c:xVal>
            <c:numRef>
              <c:f>USED!$E$91:$E$106</c:f>
              <c:numCache>
                <c:formatCode>General</c:formatCode>
                <c:ptCount val="16"/>
                <c:pt idx="0">
                  <c:v>-5.7839346666666662</c:v>
                </c:pt>
                <c:pt idx="1">
                  <c:v>-4.8850263333333359</c:v>
                </c:pt>
                <c:pt idx="2">
                  <c:v>-5.5777479999999988</c:v>
                </c:pt>
                <c:pt idx="3">
                  <c:v>-4.2628169999999974</c:v>
                </c:pt>
                <c:pt idx="4">
                  <c:v>-7.5808239999999998</c:v>
                </c:pt>
                <c:pt idx="5">
                  <c:v>-8.2973199999999991</c:v>
                </c:pt>
                <c:pt idx="6">
                  <c:v>-4.5207716666666657</c:v>
                </c:pt>
                <c:pt idx="7">
                  <c:v>-4.6511663333333333</c:v>
                </c:pt>
                <c:pt idx="8">
                  <c:v>-4.3988809999999967</c:v>
                </c:pt>
                <c:pt idx="9">
                  <c:v>-6.2184360000000005</c:v>
                </c:pt>
                <c:pt idx="10">
                  <c:v>-6.0851386666666665</c:v>
                </c:pt>
                <c:pt idx="11">
                  <c:v>-5.3967213333333364</c:v>
                </c:pt>
                <c:pt idx="12">
                  <c:v>-3.9455683333333287</c:v>
                </c:pt>
                <c:pt idx="13">
                  <c:v>-4.2500609999999996</c:v>
                </c:pt>
                <c:pt idx="14">
                  <c:v>-5.1472329999999982</c:v>
                </c:pt>
                <c:pt idx="15">
                  <c:v>-5.7542059999999982</c:v>
                </c:pt>
              </c:numCache>
            </c:numRef>
          </c:xVal>
          <c:yVal>
            <c:numRef>
              <c:f>USED!$D$91:$D$106</c:f>
              <c:numCache>
                <c:formatCode>General</c:formatCode>
                <c:ptCount val="16"/>
                <c:pt idx="0">
                  <c:v>4.3139617284767278</c:v>
                </c:pt>
                <c:pt idx="1">
                  <c:v>13.102618251238365</c:v>
                </c:pt>
                <c:pt idx="2">
                  <c:v>27.666007822637518</c:v>
                </c:pt>
                <c:pt idx="3">
                  <c:v>35.289452541466851</c:v>
                </c:pt>
                <c:pt idx="4">
                  <c:v>5.651472930564176</c:v>
                </c:pt>
                <c:pt idx="5">
                  <c:v>2.105428930564174</c:v>
                </c:pt>
                <c:pt idx="6">
                  <c:v>41.510801394781375</c:v>
                </c:pt>
                <c:pt idx="7">
                  <c:v>9.5792232360846246</c:v>
                </c:pt>
                <c:pt idx="8">
                  <c:v>119.87253743554297</c:v>
                </c:pt>
                <c:pt idx="9">
                  <c:v>39.786607744569835</c:v>
                </c:pt>
                <c:pt idx="10">
                  <c:v>4.920503930987306</c:v>
                </c:pt>
                <c:pt idx="11">
                  <c:v>21.892524345557113</c:v>
                </c:pt>
                <c:pt idx="12">
                  <c:v>10.529672798397742</c:v>
                </c:pt>
                <c:pt idx="13">
                  <c:v>31.529967849294781</c:v>
                </c:pt>
                <c:pt idx="14">
                  <c:v>6.4499612677291944</c:v>
                </c:pt>
                <c:pt idx="15">
                  <c:v>14.393827274400564</c:v>
                </c:pt>
              </c:numCache>
            </c:numRef>
          </c:yVal>
        </c:ser>
        <c:ser>
          <c:idx val="2"/>
          <c:order val="2"/>
          <c:tx>
            <c:v>Dam water</c:v>
          </c:tx>
          <c:spPr>
            <a:ln w="28575">
              <a:noFill/>
            </a:ln>
          </c:spPr>
          <c:marker>
            <c:symbol val="diamond"/>
            <c:size val="7"/>
            <c:spPr>
              <a:solidFill>
                <a:srgbClr val="FF6600"/>
              </a:solidFill>
              <a:ln>
                <a:solidFill>
                  <a:schemeClr val="tx1"/>
                </a:solidFill>
              </a:ln>
            </c:spPr>
          </c:marker>
          <c:xVal>
            <c:numRef>
              <c:f>USED!$E$107:$E$109</c:f>
              <c:numCache>
                <c:formatCode>General</c:formatCode>
                <c:ptCount val="3"/>
                <c:pt idx="0">
                  <c:v>-4.1132883333333332</c:v>
                </c:pt>
                <c:pt idx="1">
                  <c:v>-7.6781740000000003</c:v>
                </c:pt>
                <c:pt idx="2">
                  <c:v>-3.9120579999999983</c:v>
                </c:pt>
              </c:numCache>
            </c:numRef>
          </c:xVal>
          <c:yVal>
            <c:numRef>
              <c:f>USED!$D$107:$D$109</c:f>
              <c:numCache>
                <c:formatCode>General</c:formatCode>
                <c:ptCount val="3"/>
                <c:pt idx="0">
                  <c:v>32.176813510578292</c:v>
                </c:pt>
                <c:pt idx="1">
                  <c:v>7.2084601116784182</c:v>
                </c:pt>
                <c:pt idx="2">
                  <c:v>5.4888875920592373</c:v>
                </c:pt>
              </c:numCache>
            </c:numRef>
          </c:yVal>
        </c:ser>
        <c:ser>
          <c:idx val="3"/>
          <c:order val="3"/>
          <c:tx>
            <c:v>River water</c:v>
          </c:tx>
          <c:spPr>
            <a:ln w="28575">
              <a:noFill/>
            </a:ln>
          </c:spPr>
          <c:marker>
            <c:symbol val="circle"/>
            <c:size val="7"/>
            <c:spPr>
              <a:solidFill>
                <a:srgbClr val="00FF00"/>
              </a:solidFill>
            </c:spPr>
          </c:marker>
          <c:xVal>
            <c:numRef>
              <c:f>USED!$E$110:$E$111</c:f>
              <c:numCache>
                <c:formatCode>General</c:formatCode>
                <c:ptCount val="2"/>
                <c:pt idx="0">
                  <c:v>-7.5579199999999993</c:v>
                </c:pt>
                <c:pt idx="1">
                  <c:v>0.19388533333333349</c:v>
                </c:pt>
              </c:numCache>
            </c:numRef>
          </c:xVal>
          <c:yVal>
            <c:numRef>
              <c:f>USED!$D$110:$D$111</c:f>
              <c:numCache>
                <c:formatCode>General</c:formatCode>
                <c:ptCount val="2"/>
                <c:pt idx="0">
                  <c:v>53.792994858815213</c:v>
                </c:pt>
                <c:pt idx="1">
                  <c:v>15.353833935751767</c:v>
                </c:pt>
              </c:numCache>
            </c:numRef>
          </c:yVal>
        </c:ser>
        <c:ser>
          <c:idx val="4"/>
          <c:order val="4"/>
          <c:spPr>
            <a:ln w="28575">
              <a:noFill/>
            </a:ln>
          </c:spPr>
          <c:marker>
            <c:spPr>
              <a:noFill/>
              <a:ln>
                <a:noFill/>
              </a:ln>
            </c:spPr>
          </c:marker>
          <c:trendline>
            <c:spPr>
              <a:ln w="19050"/>
            </c:spPr>
            <c:trendlineType val="linear"/>
          </c:trendline>
          <c:xVal>
            <c:numRef>
              <c:f>USED!$P$40:$P$48</c:f>
              <c:numCache>
                <c:formatCode>General</c:formatCode>
                <c:ptCount val="9"/>
                <c:pt idx="0">
                  <c:v>-2.8898213333333338</c:v>
                </c:pt>
                <c:pt idx="1">
                  <c:v>-2.5853280000000001</c:v>
                </c:pt>
                <c:pt idx="2">
                  <c:v>-2.2105249999999996</c:v>
                </c:pt>
                <c:pt idx="3">
                  <c:v>-3.4609049999999999</c:v>
                </c:pt>
                <c:pt idx="4">
                  <c:v>-3.0032476666666672</c:v>
                </c:pt>
                <c:pt idx="5">
                  <c:v>-3.3732813333333329</c:v>
                </c:pt>
                <c:pt idx="6">
                  <c:v>0.54169366666666741</c:v>
                </c:pt>
                <c:pt idx="7">
                  <c:v>-3.3806383333333327</c:v>
                </c:pt>
                <c:pt idx="8">
                  <c:v>-3.523965</c:v>
                </c:pt>
              </c:numCache>
            </c:numRef>
          </c:xVal>
          <c:yVal>
            <c:numRef>
              <c:f>USED!$O$62:$O$70</c:f>
              <c:numCache>
                <c:formatCode>General</c:formatCode>
                <c:ptCount val="9"/>
                <c:pt idx="0">
                  <c:v>27.277660447320169</c:v>
                </c:pt>
                <c:pt idx="1">
                  <c:v>78.393361410155109</c:v>
                </c:pt>
                <c:pt idx="2">
                  <c:v>118.25111078674189</c:v>
                </c:pt>
                <c:pt idx="3">
                  <c:v>49.721788631170661</c:v>
                </c:pt>
                <c:pt idx="4">
                  <c:v>99.637022473624768</c:v>
                </c:pt>
                <c:pt idx="5">
                  <c:v>152.16125507165015</c:v>
                </c:pt>
                <c:pt idx="6">
                  <c:v>230.69995932806762</c:v>
                </c:pt>
                <c:pt idx="7">
                  <c:v>17.48593483511987</c:v>
                </c:pt>
                <c:pt idx="8">
                  <c:v>37.166197930747529</c:v>
                </c:pt>
              </c:numCache>
            </c:numRef>
          </c:yVal>
        </c:ser>
        <c:axId val="103985536"/>
        <c:axId val="103987456"/>
      </c:scatterChart>
      <c:valAx>
        <c:axId val="103985536"/>
        <c:scaling>
          <c:orientation val="minMax"/>
        </c:scaling>
        <c:axPos val="b"/>
        <c:title>
          <c:tx>
            <c:rich>
              <a:bodyPr/>
              <a:lstStyle/>
              <a:p>
                <a:pPr>
                  <a:defRPr/>
                </a:pPr>
                <a:r>
                  <a:rPr lang="el-GR" sz="1100" b="1" i="0" baseline="0"/>
                  <a:t>δ18</a:t>
                </a:r>
                <a:r>
                  <a:rPr lang="fr-FR" sz="1100" b="1" i="0" baseline="0"/>
                  <a:t>O (</a:t>
                </a:r>
                <a:r>
                  <a:rPr lang="en-US" sz="1100" b="1" i="0" baseline="0"/>
                  <a:t>‰</a:t>
                </a:r>
                <a:r>
                  <a:rPr lang="fr-FR" sz="1100" b="1" i="0" baseline="0"/>
                  <a:t>SMOW)</a:t>
                </a:r>
                <a:endParaRPr lang="fr-FR" sz="1100"/>
              </a:p>
            </c:rich>
          </c:tx>
          <c:layout>
            <c:manualLayout>
              <c:xMode val="edge"/>
              <c:yMode val="edge"/>
              <c:x val="0.38028652668416496"/>
              <c:y val="0.87868037328667326"/>
            </c:manualLayout>
          </c:layout>
        </c:title>
        <c:numFmt formatCode="General" sourceLinked="1"/>
        <c:tickLblPos val="nextTo"/>
        <c:crossAx val="103987456"/>
        <c:crosses val="autoZero"/>
        <c:crossBetween val="midCat"/>
      </c:valAx>
      <c:valAx>
        <c:axId val="103987456"/>
        <c:scaling>
          <c:orientation val="minMax"/>
        </c:scaling>
        <c:axPos val="l"/>
        <c:title>
          <c:tx>
            <c:rich>
              <a:bodyPr rot="-5400000" vert="horz"/>
              <a:lstStyle/>
              <a:p>
                <a:pPr>
                  <a:defRPr/>
                </a:pPr>
                <a:r>
                  <a:rPr lang="fr-FR" sz="1100"/>
                  <a:t>Cl- (meq/L)</a:t>
                </a:r>
              </a:p>
            </c:rich>
          </c:tx>
        </c:title>
        <c:numFmt formatCode="General" sourceLinked="1"/>
        <c:tickLblPos val="nextTo"/>
        <c:crossAx val="103985536"/>
        <c:crossesAt val="-10"/>
        <c:crossBetween val="midCat"/>
        <c:majorUnit val="50"/>
      </c:valAx>
    </c:plotArea>
    <c:legend>
      <c:legendPos val="r"/>
      <c:legendEntry>
        <c:idx val="4"/>
        <c:delete val="1"/>
      </c:legendEntry>
      <c:legendEntry>
        <c:idx val="5"/>
        <c:delete val="1"/>
      </c:legendEntry>
      <c:layout>
        <c:manualLayout>
          <c:xMode val="edge"/>
          <c:yMode val="edge"/>
          <c:x val="0.17607086614173229"/>
          <c:y val="4.5528579760863205E-2"/>
          <c:w val="0.22115135608048989"/>
          <c:h val="0.29783172936716273"/>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0.46667</cdr:x>
      <cdr:y>0.40106</cdr:y>
    </cdr:from>
    <cdr:to>
      <cdr:x>0.58542</cdr:x>
      <cdr:y>0.58681</cdr:y>
    </cdr:to>
    <cdr:sp macro="" textlink="">
      <cdr:nvSpPr>
        <cdr:cNvPr id="2" name="Ellipse 1"/>
        <cdr:cNvSpPr/>
      </cdr:nvSpPr>
      <cdr:spPr>
        <a:xfrm xmlns:a="http://schemas.openxmlformats.org/drawingml/2006/main">
          <a:off x="2133600" y="1100187"/>
          <a:ext cx="542925" cy="509537"/>
        </a:xfrm>
        <a:prstGeom xmlns:a="http://schemas.openxmlformats.org/drawingml/2006/main" prst="ellipse">
          <a:avLst/>
        </a:prstGeom>
        <a:noFill xmlns:a="http://schemas.openxmlformats.org/drawingml/2006/main"/>
        <a:ln xmlns:a="http://schemas.openxmlformats.org/drawingml/2006/main" w="19050" cap="flat" cmpd="sng" algn="ctr">
          <a:solidFill>
            <a:sysClr val="windowText" lastClr="000000"/>
          </a:solidFill>
          <a:prstDash val="sysDot"/>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fr-FR" sz="1100"/>
        </a:p>
      </cdr:txBody>
    </cdr:sp>
  </cdr:relSizeAnchor>
  <cdr:relSizeAnchor xmlns:cdr="http://schemas.openxmlformats.org/drawingml/2006/chartDrawing">
    <cdr:from>
      <cdr:x>0.62917</cdr:x>
      <cdr:y>0.43056</cdr:y>
    </cdr:from>
    <cdr:to>
      <cdr:x>0.87708</cdr:x>
      <cdr:y>0.59028</cdr:y>
    </cdr:to>
    <cdr:sp macro="" textlink="">
      <cdr:nvSpPr>
        <cdr:cNvPr id="3" name="ZoneTexte 2"/>
        <cdr:cNvSpPr txBox="1"/>
      </cdr:nvSpPr>
      <cdr:spPr>
        <a:xfrm xmlns:a="http://schemas.openxmlformats.org/drawingml/2006/main" rot="20631727">
          <a:off x="2876548" y="1181100"/>
          <a:ext cx="1133475" cy="4381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fr-FR" sz="900" b="1"/>
            <a:t>y =</a:t>
          </a:r>
          <a:r>
            <a:rPr lang="fr-FR" sz="900" b="1" baseline="0"/>
            <a:t> 5,246X - 9,551</a:t>
          </a:r>
        </a:p>
        <a:p xmlns:a="http://schemas.openxmlformats.org/drawingml/2006/main">
          <a:pPr algn="ctr"/>
          <a:r>
            <a:rPr lang="fr-FR" sz="900" b="1" baseline="0"/>
            <a:t>  R² = 0,745</a:t>
          </a:r>
          <a:endParaRPr lang="fr-FR" sz="900" b="1"/>
        </a:p>
      </cdr:txBody>
    </cdr:sp>
  </cdr:relSizeAnchor>
</c:userShapes>
</file>

<file path=word/drawings/drawing2.xml><?xml version="1.0" encoding="utf-8"?>
<c:userShapes xmlns:c="http://schemas.openxmlformats.org/drawingml/2006/chart">
  <cdr:relSizeAnchor xmlns:cdr="http://schemas.openxmlformats.org/drawingml/2006/chartDrawing">
    <cdr:from>
      <cdr:x>0.16754</cdr:x>
      <cdr:y>0.6217</cdr:y>
    </cdr:from>
    <cdr:to>
      <cdr:x>0.3137</cdr:x>
      <cdr:y>0.7661</cdr:y>
    </cdr:to>
    <cdr:sp macro="" textlink="">
      <cdr:nvSpPr>
        <cdr:cNvPr id="7" name="Ellipse 6"/>
        <cdr:cNvSpPr/>
      </cdr:nvSpPr>
      <cdr:spPr>
        <a:xfrm xmlns:a="http://schemas.openxmlformats.org/drawingml/2006/main" rot="20195945">
          <a:off x="766012" y="1705457"/>
          <a:ext cx="668245" cy="396106"/>
        </a:xfrm>
        <a:prstGeom xmlns:a="http://schemas.openxmlformats.org/drawingml/2006/main" prst="ellipse">
          <a:avLst/>
        </a:prstGeom>
        <a:solidFill xmlns:a="http://schemas.openxmlformats.org/drawingml/2006/main">
          <a:srgbClr val="FFFF99"/>
        </a:solidFill>
        <a:ln xmlns:a="http://schemas.openxmlformats.org/drawingml/2006/main" w="19050" cap="flat" cmpd="sng" algn="ctr">
          <a:solidFill>
            <a:sysClr val="windowText" lastClr="000000"/>
          </a:solidFill>
          <a:prstDash val="sysDot"/>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fr-FR" sz="1100"/>
        </a:p>
      </cdr:txBody>
    </cdr:sp>
  </cdr:relSizeAnchor>
  <cdr:relSizeAnchor xmlns:cdr="http://schemas.openxmlformats.org/drawingml/2006/chartDrawing">
    <cdr:from>
      <cdr:x>0.43333</cdr:x>
      <cdr:y>0.21875</cdr:y>
    </cdr:from>
    <cdr:to>
      <cdr:x>0.59375</cdr:x>
      <cdr:y>0.37153</cdr:y>
    </cdr:to>
    <cdr:sp macro="" textlink="">
      <cdr:nvSpPr>
        <cdr:cNvPr id="8" name="Ellipse 7"/>
        <cdr:cNvSpPr/>
      </cdr:nvSpPr>
      <cdr:spPr>
        <a:xfrm xmlns:a="http://schemas.openxmlformats.org/drawingml/2006/main">
          <a:off x="1981200" y="600063"/>
          <a:ext cx="733440" cy="419106"/>
        </a:xfrm>
        <a:prstGeom xmlns:a="http://schemas.openxmlformats.org/drawingml/2006/main" prst="ellipse">
          <a:avLst/>
        </a:prstGeom>
        <a:solidFill xmlns:a="http://schemas.openxmlformats.org/drawingml/2006/main">
          <a:srgbClr val="FFFF99"/>
        </a:solidFill>
        <a:ln xmlns:a="http://schemas.openxmlformats.org/drawingml/2006/main" w="19050" cap="flat" cmpd="sng" algn="ctr">
          <a:solidFill>
            <a:sysClr val="windowText" lastClr="000000"/>
          </a:solidFill>
          <a:prstDash val="sysDot"/>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fr-FR" sz="1100"/>
        </a:p>
      </cdr:txBody>
    </cdr:sp>
  </cdr:relSizeAnchor>
  <cdr:relSizeAnchor xmlns:cdr="http://schemas.openxmlformats.org/drawingml/2006/chartDrawing">
    <cdr:from>
      <cdr:x>0.72083</cdr:x>
      <cdr:y>0.07292</cdr:y>
    </cdr:from>
    <cdr:to>
      <cdr:x>0.77083</cdr:x>
      <cdr:y>0.40625</cdr:y>
    </cdr:to>
    <cdr:sp macro="" textlink="">
      <cdr:nvSpPr>
        <cdr:cNvPr id="4" name="ZoneTexte 3"/>
        <cdr:cNvSpPr txBox="1"/>
      </cdr:nvSpPr>
      <cdr:spPr>
        <a:xfrm xmlns:a="http://schemas.openxmlformats.org/drawingml/2006/main" rot="18585670">
          <a:off x="2952750" y="542926"/>
          <a:ext cx="9144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fr-FR" sz="1200" b="0"/>
            <a:t>R² = 0,626</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EFD0FC6-BCFE-4B02-9F84-9057A9B7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2834</Words>
  <Characters>15588</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SIGCHI Conference Paper Format</vt:lpstr>
      <vt:lpstr>SIGCHI Conference Paper Format</vt:lpstr>
    </vt:vector>
  </TitlesOfParts>
  <Company>ACM</Company>
  <LinksUpToDate>false</LinksUpToDate>
  <CharactersWithSpaces>18386</CharactersWithSpaces>
  <SharedDoc>false</SharedDoc>
  <HLinks>
    <vt:vector size="6" baseType="variant">
      <vt:variant>
        <vt:i4>4718719</vt:i4>
      </vt:variant>
      <vt:variant>
        <vt:i4>0</vt:i4>
      </vt:variant>
      <vt:variant>
        <vt:i4>0</vt:i4>
      </vt:variant>
      <vt:variant>
        <vt:i4>5</vt:i4>
      </vt:variant>
      <vt:variant>
        <vt:lpwstr>mailto:msabrine55@yahoo.com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dc:description>Address_x000d_Title_x000d_Author’s name_x000d_Affiliation_x000d_Abstract</dc:description>
  <cp:lastModifiedBy>MAHE</cp:lastModifiedBy>
  <cp:revision>2</cp:revision>
  <cp:lastPrinted>2012-05-22T12:42:00Z</cp:lastPrinted>
  <dcterms:created xsi:type="dcterms:W3CDTF">2015-09-25T10:12:00Z</dcterms:created>
  <dcterms:modified xsi:type="dcterms:W3CDTF">2015-09-25T10:12:00Z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