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74" w:rsidRPr="00D96674" w:rsidRDefault="00E54071" w:rsidP="002B42D3">
      <w:pPr>
        <w:suppressAutoHyphens/>
        <w:spacing w:after="0" w:line="240" w:lineRule="auto"/>
        <w:ind w:right="-173"/>
        <w:jc w:val="center"/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</w:pPr>
      <w:r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E</w:t>
      </w:r>
      <w:r w:rsidR="002B42D3" w:rsidRPr="00D96674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tude</w:t>
      </w:r>
      <w:r w:rsidR="00D96674" w:rsidRPr="00D96674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 xml:space="preserve"> de la qualité des </w:t>
      </w:r>
      <w:r w:rsidR="002B42D3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 xml:space="preserve">sols </w:t>
      </w:r>
      <w:r w:rsidR="006A66D6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dans le nord du Maroc (</w:t>
      </w:r>
      <w:bookmarkStart w:id="0" w:name="_GoBack"/>
      <w:bookmarkEnd w:id="0"/>
      <w:r w:rsidR="006A66D6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Région de</w:t>
      </w:r>
      <w:r w:rsidR="00D96674" w:rsidRPr="00D96674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 xml:space="preserve"> </w:t>
      </w:r>
      <w:r w:rsidR="002B42D3" w:rsidRPr="002B42D3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Tanger-Tétouan</w:t>
      </w:r>
      <w:r w:rsidR="002B42D3" w:rsidRPr="00D96674">
        <w:rPr>
          <w:rFonts w:asciiTheme="majorBidi" w:hAnsiTheme="majorBidi" w:cstheme="majorBidi"/>
          <w:sz w:val="24"/>
          <w:szCs w:val="24"/>
        </w:rPr>
        <w:t xml:space="preserve"> </w:t>
      </w:r>
      <w:r w:rsidR="006A66D6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–</w:t>
      </w:r>
      <w:r w:rsidR="00D96674" w:rsidRPr="00D96674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Maroc</w:t>
      </w:r>
      <w:r w:rsidR="006A66D6">
        <w:rPr>
          <w:rFonts w:asciiTheme="minorBidi" w:eastAsia="MS Mincho" w:hAnsiTheme="minorBidi"/>
          <w:b/>
          <w:color w:val="000000" w:themeColor="text1"/>
          <w:sz w:val="28"/>
          <w:szCs w:val="28"/>
          <w:lang w:eastAsia="ja-JP"/>
        </w:rPr>
        <w:t>)</w:t>
      </w:r>
    </w:p>
    <w:p w:rsidR="00D96674" w:rsidRPr="00D96674" w:rsidRDefault="00D96674" w:rsidP="00D96674">
      <w:pPr>
        <w:suppressAutoHyphens/>
        <w:spacing w:after="0"/>
        <w:jc w:val="center"/>
        <w:rPr>
          <w:rFonts w:asciiTheme="minorBidi" w:eastAsia="MS Mincho" w:hAnsiTheme="minorBidi"/>
          <w:b/>
          <w:sz w:val="24"/>
          <w:szCs w:val="24"/>
          <w:lang w:eastAsia="ja-JP"/>
        </w:rPr>
      </w:pPr>
    </w:p>
    <w:p w:rsidR="00D96674" w:rsidRPr="00D96674" w:rsidRDefault="00D96674" w:rsidP="00D96674">
      <w:pPr>
        <w:suppressAutoHyphens/>
        <w:spacing w:after="0" w:line="240" w:lineRule="auto"/>
        <w:jc w:val="center"/>
        <w:rPr>
          <w:rFonts w:asciiTheme="minorBidi" w:eastAsia="MS Mincho" w:hAnsiTheme="minorBidi"/>
          <w:b/>
          <w:sz w:val="20"/>
          <w:szCs w:val="20"/>
          <w:lang w:eastAsia="ja-JP"/>
        </w:rPr>
      </w:pPr>
    </w:p>
    <w:p w:rsidR="00D96674" w:rsidRPr="00D96674" w:rsidRDefault="00D96674" w:rsidP="00E54071">
      <w:pPr>
        <w:suppressAutoHyphens/>
        <w:spacing w:after="0" w:line="360" w:lineRule="auto"/>
        <w:jc w:val="center"/>
        <w:rPr>
          <w:rFonts w:asciiTheme="minorBidi" w:eastAsia="MS Mincho" w:hAnsiTheme="minorBidi"/>
          <w:b/>
          <w:sz w:val="20"/>
          <w:szCs w:val="20"/>
          <w:lang w:eastAsia="ja-JP"/>
        </w:rPr>
      </w:pPr>
      <w:proofErr w:type="spellStart"/>
      <w:r w:rsidRPr="002B42D3">
        <w:rPr>
          <w:rFonts w:asciiTheme="minorBidi" w:eastAsia="MS Mincho" w:hAnsiTheme="minorBidi"/>
          <w:b/>
          <w:sz w:val="20"/>
          <w:szCs w:val="20"/>
          <w:u w:val="single"/>
          <w:lang w:eastAsia="ja-JP"/>
        </w:rPr>
        <w:t>Zineb</w:t>
      </w:r>
      <w:proofErr w:type="spellEnd"/>
      <w:r w:rsidRPr="002B42D3">
        <w:rPr>
          <w:rFonts w:asciiTheme="minorBidi" w:eastAsia="MS Mincho" w:hAnsiTheme="minorBidi"/>
          <w:b/>
          <w:sz w:val="20"/>
          <w:szCs w:val="20"/>
          <w:u w:val="single"/>
          <w:lang w:eastAsia="ja-JP"/>
        </w:rPr>
        <w:t xml:space="preserve"> EL MOURIDI</w:t>
      </w:r>
      <w:r w:rsidRPr="00D96674">
        <w:rPr>
          <w:rFonts w:asciiTheme="minorBidi" w:eastAsia="MS Mincho" w:hAnsiTheme="minorBidi"/>
          <w:b/>
          <w:sz w:val="20"/>
          <w:szCs w:val="20"/>
          <w:u w:val="single"/>
          <w:vertAlign w:val="superscript"/>
          <w:lang w:eastAsia="ja-JP"/>
        </w:rPr>
        <w:t>1</w:t>
      </w:r>
      <w:proofErr w:type="gramStart"/>
      <w:r w:rsidR="002B42D3" w:rsidRPr="002B42D3">
        <w:rPr>
          <w:rFonts w:asciiTheme="minorBidi" w:eastAsia="MS Mincho" w:hAnsiTheme="minorBidi"/>
          <w:b/>
          <w:sz w:val="20"/>
          <w:szCs w:val="20"/>
          <w:vertAlign w:val="superscript"/>
          <w:lang w:eastAsia="ja-JP"/>
        </w:rPr>
        <w:t>,2</w:t>
      </w:r>
      <w:proofErr w:type="gramEnd"/>
      <w:r w:rsidRPr="00D96674">
        <w:rPr>
          <w:rFonts w:asciiTheme="minorBidi" w:eastAsia="MS Mincho" w:hAnsiTheme="minorBidi"/>
          <w:b/>
          <w:sz w:val="20"/>
          <w:szCs w:val="20"/>
          <w:lang w:eastAsia="ja-JP"/>
        </w:rPr>
        <w:t>*,</w:t>
      </w:r>
      <w:r w:rsidR="002B42D3">
        <w:rPr>
          <w:rFonts w:asciiTheme="minorBidi" w:eastAsia="MS Mincho" w:hAnsiTheme="minorBidi"/>
          <w:b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Bidi" w:eastAsia="MS Mincho" w:hAnsiTheme="minorBidi"/>
          <w:b/>
          <w:sz w:val="20"/>
          <w:szCs w:val="20"/>
          <w:lang w:eastAsia="ja-JP"/>
        </w:rPr>
        <w:t>Boughaleb</w:t>
      </w:r>
      <w:proofErr w:type="spellEnd"/>
      <w:r>
        <w:rPr>
          <w:rFonts w:asciiTheme="minorBidi" w:eastAsia="MS Mincho" w:hAnsiTheme="minorBidi"/>
          <w:b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Bidi" w:eastAsia="MS Mincho" w:hAnsiTheme="minorBidi"/>
          <w:b/>
          <w:sz w:val="20"/>
          <w:szCs w:val="20"/>
          <w:lang w:eastAsia="ja-JP"/>
        </w:rPr>
        <w:t>Farahat</w:t>
      </w:r>
      <w:proofErr w:type="spellEnd"/>
      <w:r>
        <w:rPr>
          <w:rFonts w:asciiTheme="minorBidi" w:eastAsia="MS Mincho" w:hAnsiTheme="minorBidi"/>
          <w:b/>
          <w:sz w:val="20"/>
          <w:szCs w:val="20"/>
          <w:lang w:eastAsia="ja-JP"/>
        </w:rPr>
        <w:t xml:space="preserve"> LAAROUSSI</w:t>
      </w:r>
      <w:r w:rsidR="002B42D3" w:rsidRPr="002B42D3">
        <w:rPr>
          <w:rFonts w:asciiTheme="minorBidi" w:eastAsia="MS Mincho" w:hAnsiTheme="minorBidi"/>
          <w:b/>
          <w:sz w:val="20"/>
          <w:szCs w:val="20"/>
          <w:vertAlign w:val="superscript"/>
          <w:lang w:eastAsia="ja-JP"/>
        </w:rPr>
        <w:t>1</w:t>
      </w:r>
      <w:r w:rsidR="00E54071">
        <w:rPr>
          <w:rFonts w:asciiTheme="minorBidi" w:eastAsia="MS Mincho" w:hAnsiTheme="minorBidi"/>
          <w:b/>
          <w:sz w:val="20"/>
          <w:szCs w:val="20"/>
          <w:lang w:eastAsia="ja-JP"/>
        </w:rPr>
        <w:t xml:space="preserve"> et </w:t>
      </w:r>
      <w:proofErr w:type="spellStart"/>
      <w:r w:rsidR="00E54071">
        <w:rPr>
          <w:rFonts w:asciiTheme="minorBidi" w:eastAsia="MS Mincho" w:hAnsiTheme="minorBidi"/>
          <w:b/>
          <w:sz w:val="20"/>
          <w:szCs w:val="20"/>
          <w:lang w:eastAsia="ja-JP"/>
        </w:rPr>
        <w:t>Kaoutar</w:t>
      </w:r>
      <w:proofErr w:type="spellEnd"/>
      <w:r w:rsidR="00E54071">
        <w:rPr>
          <w:rFonts w:asciiTheme="minorBidi" w:eastAsia="MS Mincho" w:hAnsiTheme="minorBidi"/>
          <w:b/>
          <w:sz w:val="20"/>
          <w:szCs w:val="20"/>
          <w:lang w:eastAsia="ja-JP"/>
        </w:rPr>
        <w:t xml:space="preserve"> BENTOUHAMI</w:t>
      </w:r>
      <w:r w:rsidR="00E54071" w:rsidRPr="002B42D3">
        <w:rPr>
          <w:rFonts w:asciiTheme="minorBidi" w:eastAsia="MS Mincho" w:hAnsiTheme="minorBidi"/>
          <w:b/>
          <w:sz w:val="20"/>
          <w:szCs w:val="20"/>
          <w:vertAlign w:val="superscript"/>
          <w:lang w:eastAsia="ja-JP"/>
        </w:rPr>
        <w:t>1</w:t>
      </w:r>
    </w:p>
    <w:p w:rsidR="00D96674" w:rsidRPr="00D96674" w:rsidRDefault="00D96674" w:rsidP="00D96674">
      <w:pPr>
        <w:suppressAutoHyphens/>
        <w:spacing w:after="0" w:line="240" w:lineRule="auto"/>
        <w:ind w:right="-174"/>
        <w:jc w:val="center"/>
        <w:rPr>
          <w:rFonts w:ascii="Calibri" w:eastAsia="MS Mincho" w:hAnsi="Calibri" w:cs="New York"/>
          <w:bCs/>
          <w:sz w:val="20"/>
          <w:szCs w:val="20"/>
          <w:lang w:eastAsia="ja-JP"/>
        </w:rPr>
      </w:pPr>
    </w:p>
    <w:p w:rsidR="00D96674" w:rsidRDefault="002B42D3" w:rsidP="00D96674">
      <w:pPr>
        <w:suppressAutoHyphens/>
        <w:spacing w:after="0"/>
        <w:jc w:val="center"/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</w:pPr>
      <w:r>
        <w:rPr>
          <w:rFonts w:asciiTheme="minorBidi" w:eastAsia="MS Mincho" w:hAnsiTheme="minorBidi"/>
          <w:bCs/>
          <w:color w:val="000000" w:themeColor="text1"/>
          <w:sz w:val="20"/>
          <w:szCs w:val="20"/>
          <w:vertAlign w:val="superscript"/>
          <w:lang w:eastAsia="ja-JP"/>
        </w:rPr>
        <w:t>1</w:t>
      </w:r>
      <w:r w:rsidR="00D96674" w:rsidRPr="00D96674"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  <w:t xml:space="preserve"> Institut National de La Recherche</w:t>
      </w:r>
      <w:r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  <w:t xml:space="preserve"> Agronomique, CRRAT</w:t>
      </w:r>
      <w:r w:rsidR="00D96674" w:rsidRPr="00D96674"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  <w:t xml:space="preserve">, Unité </w:t>
      </w:r>
      <w:r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  <w:t xml:space="preserve"> de Recherche sur les Techniques Nucléaires, l’Environnement et la Qualité  90010</w:t>
      </w:r>
      <w:r w:rsidR="00C909D4"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  <w:t xml:space="preserve"> – Tanger</w:t>
      </w:r>
      <w:r w:rsidR="00D96674" w:rsidRPr="00D96674"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  <w:t>, Maroc ;</w:t>
      </w:r>
    </w:p>
    <w:p w:rsidR="002B42D3" w:rsidRPr="00FB583D" w:rsidRDefault="002B42D3" w:rsidP="002B42D3">
      <w:pPr>
        <w:jc w:val="center"/>
        <w:rPr>
          <w:rFonts w:asciiTheme="minorBidi" w:eastAsia="MS Mincho" w:hAnsiTheme="minorBidi"/>
          <w:bCs/>
          <w:color w:val="000000" w:themeColor="text1"/>
          <w:sz w:val="20"/>
          <w:lang w:eastAsia="ja-JP"/>
        </w:rPr>
      </w:pPr>
      <w:r w:rsidRPr="00FB583D">
        <w:rPr>
          <w:rFonts w:asciiTheme="minorBidi" w:eastAsia="MS Mincho" w:hAnsiTheme="minorBidi"/>
          <w:bCs/>
          <w:color w:val="000000" w:themeColor="text1"/>
          <w:sz w:val="20"/>
          <w:vertAlign w:val="superscript"/>
          <w:lang w:eastAsia="ja-JP"/>
        </w:rPr>
        <w:t>2</w:t>
      </w:r>
      <w:r>
        <w:rPr>
          <w:rFonts w:asciiTheme="minorBidi" w:eastAsia="MS Mincho" w:hAnsiTheme="minorBidi"/>
          <w:bCs/>
          <w:color w:val="000000" w:themeColor="text1"/>
          <w:sz w:val="20"/>
          <w:lang w:eastAsia="ja-JP"/>
        </w:rPr>
        <w:t xml:space="preserve"> </w:t>
      </w:r>
      <w:r w:rsidRPr="00FB583D">
        <w:rPr>
          <w:rFonts w:asciiTheme="minorBidi" w:eastAsia="MS Mincho" w:hAnsiTheme="minorBidi"/>
          <w:bCs/>
          <w:color w:val="000000" w:themeColor="text1"/>
          <w:sz w:val="20"/>
          <w:lang w:eastAsia="ja-JP"/>
        </w:rPr>
        <w:t>Institut National de La Recherche</w:t>
      </w:r>
      <w:r>
        <w:rPr>
          <w:rFonts w:asciiTheme="minorBidi" w:eastAsia="MS Mincho" w:hAnsiTheme="minorBidi"/>
          <w:bCs/>
          <w:color w:val="000000" w:themeColor="text1"/>
          <w:sz w:val="20"/>
          <w:lang w:eastAsia="ja-JP"/>
        </w:rPr>
        <w:t xml:space="preserve"> Agronomique, CRRAR, Unité</w:t>
      </w:r>
      <w:r w:rsidRPr="00FB583D">
        <w:rPr>
          <w:rFonts w:asciiTheme="minorBidi" w:eastAsia="MS Mincho" w:hAnsiTheme="minorBidi"/>
          <w:bCs/>
          <w:color w:val="000000" w:themeColor="text1"/>
          <w:sz w:val="20"/>
          <w:lang w:eastAsia="ja-JP"/>
        </w:rPr>
        <w:t xml:space="preserve">  de l’Environnement et la Conservation des ressources naturelles B.P: 6356 – I</w:t>
      </w:r>
      <w:r w:rsidR="008058BA">
        <w:rPr>
          <w:rFonts w:asciiTheme="minorBidi" w:eastAsia="MS Mincho" w:hAnsiTheme="minorBidi"/>
          <w:bCs/>
          <w:color w:val="000000" w:themeColor="text1"/>
          <w:sz w:val="20"/>
          <w:lang w:eastAsia="ja-JP"/>
        </w:rPr>
        <w:t>nstituts, 10101 - Rabat, Maroc </w:t>
      </w:r>
    </w:p>
    <w:p w:rsidR="002B42D3" w:rsidRPr="00D96674" w:rsidRDefault="002B42D3" w:rsidP="00D96674">
      <w:pPr>
        <w:suppressAutoHyphens/>
        <w:spacing w:after="0"/>
        <w:jc w:val="center"/>
        <w:rPr>
          <w:rFonts w:asciiTheme="minorBidi" w:eastAsia="MS Mincho" w:hAnsiTheme="minorBidi"/>
          <w:bCs/>
          <w:color w:val="000000" w:themeColor="text1"/>
          <w:sz w:val="20"/>
          <w:szCs w:val="20"/>
          <w:lang w:eastAsia="ja-JP"/>
        </w:rPr>
      </w:pPr>
    </w:p>
    <w:p w:rsidR="00D96674" w:rsidRPr="00D96674" w:rsidRDefault="00D96674" w:rsidP="00D96674">
      <w:pPr>
        <w:autoSpaceDE w:val="0"/>
        <w:autoSpaceDN w:val="0"/>
        <w:adjustRightInd w:val="0"/>
        <w:spacing w:after="0" w:line="240" w:lineRule="auto"/>
        <w:rPr>
          <w:rFonts w:ascii="TTE1A04BB8t00" w:hAnsi="TTE1A04BB8t00" w:cs="TTE1A04BB8t00"/>
          <w:color w:val="000000"/>
          <w:sz w:val="26"/>
          <w:szCs w:val="26"/>
        </w:rPr>
      </w:pPr>
      <w:r w:rsidRPr="00D96674">
        <w:rPr>
          <w:rFonts w:ascii="TTE1A04BB8t00" w:hAnsi="TTE1A04BB8t00" w:cs="TTE1A04BB8t00"/>
          <w:color w:val="000000"/>
          <w:sz w:val="26"/>
          <w:szCs w:val="26"/>
        </w:rPr>
        <w:t>_____________</w:t>
      </w:r>
    </w:p>
    <w:p w:rsidR="00D96674" w:rsidRPr="00D96674" w:rsidRDefault="00D96674" w:rsidP="00D96674">
      <w:pPr>
        <w:autoSpaceDE w:val="0"/>
        <w:autoSpaceDN w:val="0"/>
        <w:adjustRightInd w:val="0"/>
        <w:spacing w:after="0" w:line="240" w:lineRule="auto"/>
        <w:rPr>
          <w:rFonts w:ascii="TTE1A04BB8t00" w:hAnsi="TTE1A04BB8t00" w:cs="TTE1A04BB8t00"/>
          <w:color w:val="000000"/>
          <w:sz w:val="20"/>
          <w:szCs w:val="20"/>
        </w:rPr>
      </w:pPr>
      <w:r w:rsidRPr="00D96674">
        <w:rPr>
          <w:rFonts w:asciiTheme="minorBidi" w:eastAsia="Times New Roman" w:hAnsiTheme="minorBidi"/>
          <w:sz w:val="20"/>
          <w:szCs w:val="20"/>
          <w:lang w:eastAsia="ar-SA"/>
        </w:rPr>
        <w:t>* Correspondance, courriel</w:t>
      </w:r>
      <w:r w:rsidRPr="00D96674">
        <w:rPr>
          <w:rFonts w:ascii="TTE1A04BB8t00" w:hAnsi="TTE1A04BB8t00" w:cs="TTE1A04BB8t00"/>
          <w:color w:val="000000"/>
          <w:sz w:val="26"/>
          <w:szCs w:val="26"/>
        </w:rPr>
        <w:t xml:space="preserve"> : </w:t>
      </w:r>
      <w:hyperlink r:id="rId4" w:history="1">
        <w:r w:rsidRPr="0028132C">
          <w:rPr>
            <w:rStyle w:val="Lienhypertexte"/>
            <w:rFonts w:asciiTheme="minorBidi" w:hAnsiTheme="minorBidi"/>
            <w:b/>
            <w:bCs/>
            <w:sz w:val="20"/>
            <w:szCs w:val="20"/>
          </w:rPr>
          <w:t>zineb.inra@gmail.com</w:t>
        </w:r>
      </w:hyperlink>
      <w:r w:rsidRPr="00D96674">
        <w:rPr>
          <w:rFonts w:asciiTheme="minorBidi" w:hAnsiTheme="minorBidi"/>
          <w:b/>
          <w:bCs/>
          <w:color w:val="9A00CD"/>
          <w:sz w:val="20"/>
          <w:szCs w:val="20"/>
        </w:rPr>
        <w:t xml:space="preserve"> </w:t>
      </w:r>
      <w:r w:rsidRPr="00D96674">
        <w:rPr>
          <w:rFonts w:asciiTheme="minorBidi" w:hAnsiTheme="minorBidi"/>
          <w:color w:val="9A00CD"/>
          <w:sz w:val="20"/>
          <w:szCs w:val="20"/>
        </w:rPr>
        <w:t xml:space="preserve">  </w:t>
      </w:r>
    </w:p>
    <w:p w:rsidR="00D96674" w:rsidRPr="00D96674" w:rsidRDefault="00D96674" w:rsidP="00D96674">
      <w:pPr>
        <w:suppressAutoHyphens/>
        <w:spacing w:after="0" w:line="240" w:lineRule="auto"/>
        <w:rPr>
          <w:rFonts w:ascii="New York" w:eastAsia="Times New Roman" w:hAnsi="New York" w:cs="New York"/>
          <w:sz w:val="24"/>
          <w:szCs w:val="20"/>
          <w:lang w:eastAsia="ar-SA"/>
        </w:rPr>
      </w:pPr>
    </w:p>
    <w:p w:rsidR="00D96674" w:rsidRPr="00D96674" w:rsidRDefault="00D96674" w:rsidP="00D96674">
      <w:pPr>
        <w:suppressAutoHyphens/>
        <w:spacing w:after="0" w:line="360" w:lineRule="auto"/>
        <w:ind w:right="820"/>
        <w:jc w:val="both"/>
        <w:rPr>
          <w:rFonts w:asciiTheme="minorBidi" w:eastAsia="Times New Roman" w:hAnsiTheme="minorBidi"/>
          <w:b/>
          <w:bCs/>
          <w:sz w:val="24"/>
          <w:szCs w:val="24"/>
          <w:lang w:eastAsia="ar-SA"/>
        </w:rPr>
      </w:pPr>
    </w:p>
    <w:p w:rsidR="00D96674" w:rsidRPr="00D96674" w:rsidRDefault="00D96674" w:rsidP="00D96674">
      <w:pPr>
        <w:suppressAutoHyphens/>
        <w:spacing w:after="0" w:line="360" w:lineRule="auto"/>
        <w:ind w:right="820"/>
        <w:jc w:val="both"/>
        <w:rPr>
          <w:rFonts w:asciiTheme="minorBidi" w:eastAsia="Times New Roman" w:hAnsiTheme="minorBidi"/>
          <w:b/>
          <w:bCs/>
          <w:sz w:val="24"/>
          <w:szCs w:val="24"/>
          <w:lang w:eastAsia="ar-SA"/>
        </w:rPr>
      </w:pPr>
      <w:r w:rsidRPr="00D96674">
        <w:rPr>
          <w:rFonts w:asciiTheme="minorBidi" w:eastAsia="Times New Roman" w:hAnsiTheme="minorBidi"/>
          <w:b/>
          <w:bCs/>
          <w:sz w:val="24"/>
          <w:szCs w:val="24"/>
          <w:lang w:eastAsia="ar-SA"/>
        </w:rPr>
        <w:t>Résumé </w:t>
      </w:r>
    </w:p>
    <w:p w:rsidR="008058BA" w:rsidRDefault="00637F62" w:rsidP="00131051">
      <w:pPr>
        <w:spacing w:before="120" w:after="12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région du nord du Maroc</w:t>
      </w:r>
      <w:r w:rsidR="008058BA" w:rsidRPr="00D966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8058BA" w:rsidRPr="00D96674">
        <w:rPr>
          <w:rFonts w:asciiTheme="majorBidi" w:hAnsiTheme="majorBidi" w:cstheme="majorBidi"/>
          <w:sz w:val="24"/>
          <w:szCs w:val="24"/>
        </w:rPr>
        <w:t>Tanger-Tétouan</w:t>
      </w:r>
      <w:r>
        <w:rPr>
          <w:rFonts w:asciiTheme="majorBidi" w:hAnsiTheme="majorBidi" w:cstheme="majorBidi"/>
          <w:sz w:val="24"/>
          <w:szCs w:val="24"/>
        </w:rPr>
        <w:t>)</w:t>
      </w:r>
      <w:r w:rsidR="008058BA" w:rsidRPr="00D96674">
        <w:rPr>
          <w:rFonts w:asciiTheme="majorBidi" w:hAnsiTheme="majorBidi" w:cstheme="majorBidi"/>
          <w:sz w:val="24"/>
          <w:szCs w:val="24"/>
        </w:rPr>
        <w:t xml:space="preserve"> de part</w:t>
      </w:r>
      <w:r>
        <w:rPr>
          <w:rFonts w:asciiTheme="majorBidi" w:hAnsiTheme="majorBidi" w:cstheme="majorBidi"/>
          <w:sz w:val="24"/>
          <w:szCs w:val="24"/>
        </w:rPr>
        <w:t xml:space="preserve"> sa position stratégique avec sa</w:t>
      </w:r>
      <w:r w:rsidR="008058BA" w:rsidRPr="00D96674">
        <w:rPr>
          <w:rFonts w:asciiTheme="majorBidi" w:hAnsiTheme="majorBidi" w:cstheme="majorBidi"/>
          <w:sz w:val="24"/>
          <w:szCs w:val="24"/>
        </w:rPr>
        <w:t xml:space="preserve"> double façade méditerranéenne et atlantique, sa grande étendue géographique sur 1.28 millions d’hectares (1,77% de la superficie nationale), sa diversité écologique et la richesse de ses ressources naturelles présente des potentialités de développement agricole importantes.</w:t>
      </w:r>
      <w:r w:rsidR="008058BA" w:rsidRPr="008058BA">
        <w:rPr>
          <w:rFonts w:asciiTheme="majorBidi" w:hAnsiTheme="majorBidi" w:cstheme="majorBidi"/>
          <w:sz w:val="24"/>
          <w:szCs w:val="24"/>
        </w:rPr>
        <w:t xml:space="preserve"> </w:t>
      </w:r>
      <w:r w:rsidR="008058BA" w:rsidRPr="00D96674">
        <w:rPr>
          <w:rFonts w:asciiTheme="majorBidi" w:hAnsiTheme="majorBidi" w:cstheme="majorBidi"/>
          <w:sz w:val="24"/>
          <w:szCs w:val="24"/>
        </w:rPr>
        <w:t xml:space="preserve">La </w:t>
      </w:r>
      <w:r w:rsidR="00131051">
        <w:rPr>
          <w:rFonts w:asciiTheme="majorBidi" w:hAnsiTheme="majorBidi" w:cstheme="majorBidi"/>
          <w:sz w:val="24"/>
          <w:szCs w:val="24"/>
        </w:rPr>
        <w:t>surface agricole utile (</w:t>
      </w:r>
      <w:r w:rsidR="008058BA" w:rsidRPr="00D96674">
        <w:rPr>
          <w:rFonts w:asciiTheme="majorBidi" w:hAnsiTheme="majorBidi" w:cstheme="majorBidi"/>
          <w:sz w:val="24"/>
          <w:szCs w:val="24"/>
        </w:rPr>
        <w:t>SAU</w:t>
      </w:r>
      <w:r w:rsidR="00131051">
        <w:rPr>
          <w:rFonts w:asciiTheme="majorBidi" w:hAnsiTheme="majorBidi" w:cstheme="majorBidi"/>
          <w:sz w:val="24"/>
          <w:szCs w:val="24"/>
        </w:rPr>
        <w:t>)</w:t>
      </w:r>
      <w:r w:rsidR="008058BA" w:rsidRPr="00D96674">
        <w:rPr>
          <w:rFonts w:asciiTheme="majorBidi" w:hAnsiTheme="majorBidi" w:cstheme="majorBidi"/>
          <w:sz w:val="24"/>
          <w:szCs w:val="24"/>
        </w:rPr>
        <w:t xml:space="preserve"> de cette zone est de 530 milles hectares (42% de la superficie totale) dont environ 49.667 hectares  en irrigué</w:t>
      </w:r>
      <w:r w:rsidR="006C35C4">
        <w:rPr>
          <w:rFonts w:asciiTheme="majorBidi" w:hAnsiTheme="majorBidi" w:cstheme="majorBidi"/>
          <w:sz w:val="24"/>
          <w:szCs w:val="24"/>
        </w:rPr>
        <w:t>.</w:t>
      </w:r>
      <w:r w:rsidR="008058BA" w:rsidRPr="00D96674">
        <w:rPr>
          <w:rFonts w:asciiTheme="majorBidi" w:hAnsiTheme="majorBidi" w:cstheme="majorBidi"/>
          <w:sz w:val="24"/>
          <w:szCs w:val="24"/>
        </w:rPr>
        <w:t> </w:t>
      </w:r>
    </w:p>
    <w:p w:rsidR="00980285" w:rsidRDefault="00637F62" w:rsidP="00131051">
      <w:pPr>
        <w:spacing w:before="120"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connaissance des caractéristiques physico-chimiques des sols de cette région consistera une démarche primordiale pour bien </w:t>
      </w:r>
      <w:r w:rsidR="003054F3">
        <w:rPr>
          <w:rFonts w:asciiTheme="majorBidi" w:hAnsiTheme="majorBidi" w:cstheme="majorBidi"/>
          <w:sz w:val="24"/>
          <w:szCs w:val="24"/>
        </w:rPr>
        <w:t>gérer ces ressources d’une façon efficiente et rationnelle. C’est dans ce cadre que s’inscrit c</w:t>
      </w:r>
      <w:r w:rsidR="00980285" w:rsidRPr="00874229">
        <w:rPr>
          <w:rFonts w:asciiTheme="majorBidi" w:hAnsiTheme="majorBidi" w:cstheme="majorBidi"/>
          <w:sz w:val="24"/>
          <w:szCs w:val="24"/>
        </w:rPr>
        <w:t xml:space="preserve">e travail </w:t>
      </w:r>
      <w:r w:rsidR="003054F3">
        <w:rPr>
          <w:rFonts w:asciiTheme="majorBidi" w:hAnsiTheme="majorBidi" w:cstheme="majorBidi"/>
          <w:sz w:val="24"/>
          <w:szCs w:val="24"/>
        </w:rPr>
        <w:t xml:space="preserve">qui </w:t>
      </w:r>
      <w:r w:rsidR="00980285" w:rsidRPr="00874229">
        <w:rPr>
          <w:rFonts w:asciiTheme="majorBidi" w:hAnsiTheme="majorBidi" w:cstheme="majorBidi"/>
          <w:sz w:val="24"/>
          <w:szCs w:val="24"/>
        </w:rPr>
        <w:t xml:space="preserve">vise à évaluer la qualité </w:t>
      </w:r>
      <w:r w:rsidR="006C35C4" w:rsidRPr="00874229">
        <w:rPr>
          <w:rFonts w:asciiTheme="majorBidi" w:hAnsiTheme="majorBidi" w:cstheme="majorBidi"/>
          <w:sz w:val="24"/>
          <w:szCs w:val="24"/>
        </w:rPr>
        <w:t>de la fertilité des</w:t>
      </w:r>
      <w:r w:rsidR="00980285" w:rsidRPr="00874229">
        <w:rPr>
          <w:rFonts w:asciiTheme="majorBidi" w:hAnsiTheme="majorBidi" w:cstheme="majorBidi"/>
          <w:sz w:val="24"/>
          <w:szCs w:val="24"/>
        </w:rPr>
        <w:t xml:space="preserve"> sol</w:t>
      </w:r>
      <w:r w:rsidR="006C35C4" w:rsidRPr="00874229">
        <w:rPr>
          <w:rFonts w:asciiTheme="majorBidi" w:hAnsiTheme="majorBidi" w:cstheme="majorBidi"/>
          <w:sz w:val="24"/>
          <w:szCs w:val="24"/>
        </w:rPr>
        <w:t>s cultivés de la région Tanger-</w:t>
      </w:r>
      <w:r w:rsidR="00874229">
        <w:rPr>
          <w:rFonts w:asciiTheme="majorBidi" w:hAnsiTheme="majorBidi" w:cstheme="majorBidi"/>
          <w:sz w:val="24"/>
          <w:szCs w:val="24"/>
        </w:rPr>
        <w:t>Tétouan où le prélèvement des échantillons a été réalisé</w:t>
      </w:r>
      <w:r w:rsidR="006C35C4" w:rsidRPr="00874229">
        <w:rPr>
          <w:rFonts w:asciiTheme="majorBidi" w:hAnsiTheme="majorBidi" w:cstheme="majorBidi"/>
          <w:sz w:val="24"/>
          <w:szCs w:val="24"/>
        </w:rPr>
        <w:t xml:space="preserve"> </w:t>
      </w:r>
      <w:r w:rsidR="00874229">
        <w:rPr>
          <w:rFonts w:asciiTheme="majorBidi" w:hAnsiTheme="majorBidi" w:cstheme="majorBidi"/>
          <w:sz w:val="24"/>
          <w:szCs w:val="24"/>
        </w:rPr>
        <w:t xml:space="preserve">selon un réseau de 49 points. </w:t>
      </w:r>
      <w:r w:rsidR="003054F3">
        <w:rPr>
          <w:rFonts w:asciiTheme="majorBidi" w:hAnsiTheme="majorBidi" w:cstheme="majorBidi"/>
          <w:sz w:val="24"/>
          <w:szCs w:val="24"/>
        </w:rPr>
        <w:t>L</w:t>
      </w:r>
      <w:r w:rsidR="006C35C4" w:rsidRPr="00874229">
        <w:rPr>
          <w:rFonts w:asciiTheme="majorBidi" w:hAnsiTheme="majorBidi" w:cstheme="majorBidi"/>
          <w:sz w:val="24"/>
          <w:szCs w:val="24"/>
        </w:rPr>
        <w:t>a caractérisation physico-chimique de</w:t>
      </w:r>
      <w:r w:rsidR="006806DC">
        <w:rPr>
          <w:rFonts w:asciiTheme="majorBidi" w:hAnsiTheme="majorBidi" w:cstheme="majorBidi"/>
          <w:sz w:val="24"/>
          <w:szCs w:val="24"/>
        </w:rPr>
        <w:t xml:space="preserve">s échantillons </w:t>
      </w:r>
      <w:r w:rsidR="003054F3">
        <w:rPr>
          <w:rFonts w:asciiTheme="majorBidi" w:hAnsiTheme="majorBidi" w:cstheme="majorBidi"/>
          <w:sz w:val="24"/>
          <w:szCs w:val="24"/>
        </w:rPr>
        <w:t>de sol comprend</w:t>
      </w:r>
      <w:r w:rsidR="006806DC">
        <w:rPr>
          <w:rFonts w:asciiTheme="majorBidi" w:hAnsiTheme="majorBidi" w:cstheme="majorBidi"/>
          <w:sz w:val="24"/>
          <w:szCs w:val="24"/>
        </w:rPr>
        <w:t xml:space="preserve"> les</w:t>
      </w:r>
      <w:r w:rsidR="006C35C4" w:rsidRPr="00874229">
        <w:rPr>
          <w:rFonts w:asciiTheme="majorBidi" w:hAnsiTheme="majorBidi" w:cstheme="majorBidi"/>
          <w:sz w:val="24"/>
          <w:szCs w:val="24"/>
        </w:rPr>
        <w:t xml:space="preserve"> paramètres </w:t>
      </w:r>
      <w:r w:rsidR="006806DC">
        <w:rPr>
          <w:rFonts w:asciiTheme="majorBidi" w:hAnsiTheme="majorBidi" w:cstheme="majorBidi"/>
          <w:sz w:val="24"/>
          <w:szCs w:val="24"/>
        </w:rPr>
        <w:t xml:space="preserve">suivants </w:t>
      </w:r>
      <w:r w:rsidR="006C35C4" w:rsidRPr="00874229">
        <w:rPr>
          <w:rFonts w:asciiTheme="majorBidi" w:hAnsiTheme="majorBidi" w:cstheme="majorBidi"/>
          <w:sz w:val="24"/>
          <w:szCs w:val="24"/>
        </w:rPr>
        <w:t>: pH, Conductivité électrique (CE), Matière Organique (MO), Calcaire total, Potassium (</w:t>
      </w:r>
      <w:r w:rsidR="00874229" w:rsidRPr="00874229">
        <w:rPr>
          <w:rFonts w:asciiTheme="majorBidi" w:hAnsiTheme="majorBidi" w:cstheme="majorBidi"/>
          <w:sz w:val="24"/>
          <w:szCs w:val="24"/>
        </w:rPr>
        <w:t>K</w:t>
      </w:r>
      <w:r w:rsidR="00874229" w:rsidRPr="00131051">
        <w:rPr>
          <w:rFonts w:asciiTheme="majorBidi" w:hAnsiTheme="majorBidi" w:cstheme="majorBidi"/>
          <w:sz w:val="24"/>
          <w:szCs w:val="24"/>
        </w:rPr>
        <w:t>2</w:t>
      </w:r>
      <w:r w:rsidR="00874229" w:rsidRPr="00874229">
        <w:rPr>
          <w:rFonts w:asciiTheme="majorBidi" w:hAnsiTheme="majorBidi" w:cstheme="majorBidi"/>
          <w:sz w:val="24"/>
          <w:szCs w:val="24"/>
        </w:rPr>
        <w:t>O), Phosphore (P</w:t>
      </w:r>
      <w:r w:rsidR="00874229" w:rsidRPr="00131051">
        <w:rPr>
          <w:rFonts w:asciiTheme="majorBidi" w:hAnsiTheme="majorBidi" w:cstheme="majorBidi"/>
          <w:sz w:val="24"/>
          <w:szCs w:val="24"/>
        </w:rPr>
        <w:t>2</w:t>
      </w:r>
      <w:r w:rsidR="00874229" w:rsidRPr="00874229">
        <w:rPr>
          <w:rFonts w:asciiTheme="majorBidi" w:hAnsiTheme="majorBidi" w:cstheme="majorBidi"/>
          <w:sz w:val="24"/>
          <w:szCs w:val="24"/>
        </w:rPr>
        <w:t>O</w:t>
      </w:r>
      <w:r w:rsidR="00874229" w:rsidRPr="00131051">
        <w:rPr>
          <w:rFonts w:asciiTheme="majorBidi" w:hAnsiTheme="majorBidi" w:cstheme="majorBidi"/>
          <w:sz w:val="24"/>
          <w:szCs w:val="24"/>
        </w:rPr>
        <w:t>5</w:t>
      </w:r>
      <w:r w:rsidR="00874229" w:rsidRPr="00874229">
        <w:rPr>
          <w:rFonts w:asciiTheme="majorBidi" w:hAnsiTheme="majorBidi" w:cstheme="majorBidi"/>
          <w:sz w:val="24"/>
          <w:szCs w:val="24"/>
        </w:rPr>
        <w:t>), Azote et les bases échangeables.</w:t>
      </w:r>
    </w:p>
    <w:p w:rsidR="006806DC" w:rsidRPr="00874229" w:rsidRDefault="00F671D0" w:rsidP="00131051">
      <w:pPr>
        <w:spacing w:before="120" w:after="12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résultats obtenus montrent</w:t>
      </w:r>
      <w:r w:rsidR="003054F3">
        <w:rPr>
          <w:rFonts w:asciiTheme="majorBidi" w:hAnsiTheme="majorBidi" w:cstheme="majorBidi"/>
          <w:sz w:val="24"/>
          <w:szCs w:val="24"/>
        </w:rPr>
        <w:t xml:space="preserve"> que la </w:t>
      </w:r>
      <w:r w:rsidR="00131051">
        <w:rPr>
          <w:rFonts w:asciiTheme="majorBidi" w:hAnsiTheme="majorBidi" w:cstheme="majorBidi"/>
          <w:sz w:val="24"/>
          <w:szCs w:val="24"/>
        </w:rPr>
        <w:t>région possède des sols</w:t>
      </w:r>
      <w:r w:rsidR="003054F3">
        <w:rPr>
          <w:rFonts w:asciiTheme="majorBidi" w:hAnsiTheme="majorBidi" w:cstheme="majorBidi"/>
          <w:sz w:val="24"/>
          <w:szCs w:val="24"/>
        </w:rPr>
        <w:t xml:space="preserve"> non salins</w:t>
      </w:r>
      <w:r w:rsidR="00131051">
        <w:rPr>
          <w:rFonts w:asciiTheme="majorBidi" w:hAnsiTheme="majorBidi" w:cstheme="majorBidi"/>
          <w:sz w:val="24"/>
          <w:szCs w:val="24"/>
        </w:rPr>
        <w:t>,</w:t>
      </w:r>
      <w:r w:rsidR="003054F3">
        <w:rPr>
          <w:rFonts w:asciiTheme="majorBidi" w:hAnsiTheme="majorBidi" w:cstheme="majorBidi"/>
          <w:sz w:val="24"/>
          <w:szCs w:val="24"/>
        </w:rPr>
        <w:t xml:space="preserve"> d’une acidité moyennement basiques et qui sont riche en MO</w:t>
      </w:r>
      <w:r w:rsidR="00131051">
        <w:rPr>
          <w:rFonts w:asciiTheme="majorBidi" w:hAnsiTheme="majorBidi" w:cstheme="majorBidi"/>
          <w:sz w:val="24"/>
          <w:szCs w:val="24"/>
        </w:rPr>
        <w:t>. La majorité des sols sont des sols non calcaires avec un pourcentage très faible en potassium et phosphore assimilable.</w:t>
      </w:r>
    </w:p>
    <w:p w:rsidR="00980285" w:rsidRDefault="00980285" w:rsidP="00131051">
      <w:pPr>
        <w:spacing w:before="120" w:after="12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131051" w:rsidRPr="008970CD" w:rsidRDefault="00131051" w:rsidP="00131051">
      <w:pPr>
        <w:tabs>
          <w:tab w:val="left" w:pos="284"/>
        </w:tabs>
        <w:spacing w:line="360" w:lineRule="auto"/>
        <w:jc w:val="center"/>
        <w:rPr>
          <w:rFonts w:asciiTheme="majorBidi" w:hAnsiTheme="majorBidi" w:cstheme="majorBidi"/>
        </w:rPr>
      </w:pPr>
      <w:r w:rsidRPr="008970CD">
        <w:rPr>
          <w:rFonts w:asciiTheme="majorBidi" w:hAnsiTheme="majorBidi" w:cstheme="majorBidi"/>
          <w:b/>
          <w:bCs/>
        </w:rPr>
        <w:t xml:space="preserve">Mots clés : </w:t>
      </w:r>
      <w:r>
        <w:rPr>
          <w:rFonts w:asciiTheme="majorBidi" w:hAnsiTheme="majorBidi" w:cstheme="majorBidi"/>
        </w:rPr>
        <w:t>SAU</w:t>
      </w:r>
      <w:r w:rsidRPr="008970CD">
        <w:rPr>
          <w:rFonts w:asciiTheme="majorBidi" w:hAnsiTheme="majorBidi" w:cstheme="majorBidi"/>
        </w:rPr>
        <w:t>,</w:t>
      </w:r>
      <w:r w:rsidRPr="008970CD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physico-chimiques</w:t>
      </w:r>
      <w:r w:rsidRPr="008970C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fertilité, salins</w:t>
      </w:r>
      <w:r w:rsidRPr="008970C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phosphore assimilable, bases échangeables.</w:t>
      </w:r>
    </w:p>
    <w:p w:rsidR="00D96674" w:rsidRPr="00D96674" w:rsidRDefault="00D96674">
      <w:pPr>
        <w:rPr>
          <w:sz w:val="28"/>
          <w:szCs w:val="28"/>
        </w:rPr>
      </w:pPr>
    </w:p>
    <w:sectPr w:rsidR="00D96674" w:rsidRPr="00D96674" w:rsidSect="00D966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TE1A04B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02C"/>
    <w:rsid w:val="0011102C"/>
    <w:rsid w:val="00131051"/>
    <w:rsid w:val="002B42D3"/>
    <w:rsid w:val="003054F3"/>
    <w:rsid w:val="00637F62"/>
    <w:rsid w:val="00641FA0"/>
    <w:rsid w:val="00662CF5"/>
    <w:rsid w:val="006777EE"/>
    <w:rsid w:val="006806DC"/>
    <w:rsid w:val="006A66D6"/>
    <w:rsid w:val="006C35C4"/>
    <w:rsid w:val="008058BA"/>
    <w:rsid w:val="00874229"/>
    <w:rsid w:val="00980285"/>
    <w:rsid w:val="0098522F"/>
    <w:rsid w:val="00B438C5"/>
    <w:rsid w:val="00C909D4"/>
    <w:rsid w:val="00CA1897"/>
    <w:rsid w:val="00D96674"/>
    <w:rsid w:val="00E54071"/>
    <w:rsid w:val="00F6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6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6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eb.inr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Montpellier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Chercheur</cp:lastModifiedBy>
  <cp:revision>2</cp:revision>
  <dcterms:created xsi:type="dcterms:W3CDTF">2015-04-01T12:03:00Z</dcterms:created>
  <dcterms:modified xsi:type="dcterms:W3CDTF">2015-04-01T12:03:00Z</dcterms:modified>
</cp:coreProperties>
</file>