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E4" w:rsidRDefault="00443BE4">
      <w:pPr>
        <w:pStyle w:val="DefaultStyle"/>
        <w:spacing w:after="0" w:line="100" w:lineRule="atLeast"/>
        <w:jc w:val="center"/>
      </w:pPr>
    </w:p>
    <w:p w:rsidR="00B2256B" w:rsidRDefault="00B2256B">
      <w:pPr>
        <w:pStyle w:val="DefaultStyle"/>
        <w:spacing w:after="0" w:line="100" w:lineRule="atLeast"/>
        <w:jc w:val="center"/>
        <w:rPr>
          <w:rFonts w:ascii="Times New Roman" w:hAnsi="Times New Roman" w:cs="Times New Roman"/>
          <w:b/>
          <w:sz w:val="28"/>
          <w:szCs w:val="28"/>
        </w:rPr>
      </w:pPr>
    </w:p>
    <w:p w:rsidR="00443BE4" w:rsidRDefault="00205C20">
      <w:pPr>
        <w:pStyle w:val="DefaultStyle"/>
        <w:spacing w:after="0" w:line="100" w:lineRule="atLeast"/>
        <w:jc w:val="center"/>
      </w:pPr>
      <w:r w:rsidRPr="00E96A50">
        <w:rPr>
          <w:rFonts w:ascii="Times New Roman" w:hAnsi="Times New Roman" w:cs="Times New Roman"/>
          <w:b/>
          <w:sz w:val="28"/>
          <w:szCs w:val="28"/>
        </w:rPr>
        <w:t>Etude pédologique et analyse cartographique pour la lutte contre l’érosion hydrique</w:t>
      </w:r>
      <w:r w:rsidR="007B3480">
        <w:rPr>
          <w:rFonts w:ascii="Times New Roman" w:hAnsi="Times New Roman" w:cs="Times New Roman"/>
          <w:b/>
          <w:sz w:val="28"/>
          <w:szCs w:val="28"/>
        </w:rPr>
        <w:t xml:space="preserve">. </w:t>
      </w:r>
      <w:r w:rsidRPr="00E96A50">
        <w:rPr>
          <w:rFonts w:ascii="Times New Roman" w:hAnsi="Times New Roman" w:cs="Times New Roman"/>
          <w:b/>
          <w:sz w:val="26"/>
          <w:szCs w:val="26"/>
        </w:rPr>
        <w:t xml:space="preserve">Cas du bassin versant de l’oued </w:t>
      </w:r>
      <w:proofErr w:type="spellStart"/>
      <w:r w:rsidRPr="00E96A50">
        <w:rPr>
          <w:rFonts w:ascii="Times New Roman" w:hAnsi="Times New Roman" w:cs="Times New Roman"/>
          <w:b/>
          <w:sz w:val="26"/>
          <w:szCs w:val="26"/>
        </w:rPr>
        <w:t>Maiz</w:t>
      </w:r>
      <w:proofErr w:type="spellEnd"/>
      <w:r w:rsidRPr="00E96A50">
        <w:rPr>
          <w:rFonts w:ascii="Times New Roman" w:hAnsi="Times New Roman" w:cs="Times New Roman"/>
          <w:b/>
          <w:sz w:val="26"/>
          <w:szCs w:val="26"/>
        </w:rPr>
        <w:t xml:space="preserve"> (Tunisie centrale)</w:t>
      </w:r>
    </w:p>
    <w:p w:rsidR="00E96A50" w:rsidRDefault="00E96A50" w:rsidP="00E96A50">
      <w:pPr>
        <w:pStyle w:val="DefaultStyle"/>
        <w:spacing w:after="0" w:line="100" w:lineRule="atLeast"/>
      </w:pPr>
    </w:p>
    <w:p w:rsidR="00443BE4" w:rsidRPr="00E96A50" w:rsidRDefault="00205C20" w:rsidP="00E96A50">
      <w:pPr>
        <w:pStyle w:val="DefaultStyle"/>
        <w:spacing w:after="0" w:line="100" w:lineRule="atLeast"/>
        <w:jc w:val="center"/>
        <w:rPr>
          <w:rFonts w:ascii="Times New Roman" w:hAnsi="Times New Roman" w:cs="Times New Roman"/>
        </w:rPr>
      </w:pPr>
      <w:proofErr w:type="spellStart"/>
      <w:r w:rsidRPr="00E96A50">
        <w:rPr>
          <w:rFonts w:ascii="Times New Roman" w:hAnsi="Times New Roman" w:cs="Times New Roman"/>
          <w:b/>
          <w:i/>
          <w:sz w:val="24"/>
          <w:szCs w:val="24"/>
        </w:rPr>
        <w:t>Fethi</w:t>
      </w:r>
      <w:proofErr w:type="spellEnd"/>
      <w:r w:rsidRPr="00E96A50">
        <w:rPr>
          <w:rFonts w:ascii="Times New Roman" w:hAnsi="Times New Roman" w:cs="Times New Roman"/>
          <w:b/>
          <w:i/>
          <w:sz w:val="24"/>
          <w:szCs w:val="24"/>
        </w:rPr>
        <w:t xml:space="preserve"> </w:t>
      </w:r>
      <w:proofErr w:type="spellStart"/>
      <w:r w:rsidRPr="00E96A50">
        <w:rPr>
          <w:rFonts w:ascii="Times New Roman" w:hAnsi="Times New Roman" w:cs="Times New Roman"/>
          <w:b/>
          <w:i/>
          <w:sz w:val="24"/>
          <w:szCs w:val="24"/>
        </w:rPr>
        <w:t>Bouksila</w:t>
      </w:r>
      <w:proofErr w:type="spellEnd"/>
      <w:r w:rsidRPr="00E96A50">
        <w:rPr>
          <w:rFonts w:ascii="Times New Roman" w:hAnsi="Times New Roman" w:cs="Times New Roman"/>
          <w:b/>
          <w:i/>
          <w:sz w:val="24"/>
          <w:szCs w:val="24"/>
        </w:rPr>
        <w:t xml:space="preserve"> </w:t>
      </w:r>
      <w:r w:rsidRPr="00E96A50">
        <w:rPr>
          <w:rFonts w:ascii="Times New Roman" w:hAnsi="Times New Roman" w:cs="Times New Roman"/>
          <w:b/>
          <w:i/>
          <w:sz w:val="24"/>
          <w:szCs w:val="24"/>
          <w:vertAlign w:val="superscript"/>
        </w:rPr>
        <w:t>a</w:t>
      </w:r>
      <w:r w:rsidRPr="00E96A50">
        <w:rPr>
          <w:rFonts w:ascii="Times New Roman" w:hAnsi="Times New Roman" w:cs="Times New Roman"/>
          <w:b/>
          <w:i/>
          <w:sz w:val="24"/>
          <w:szCs w:val="24"/>
        </w:rPr>
        <w:t xml:space="preserve">, </w:t>
      </w:r>
      <w:proofErr w:type="spellStart"/>
      <w:r w:rsidRPr="00E96A50">
        <w:rPr>
          <w:rFonts w:ascii="Times New Roman" w:hAnsi="Times New Roman" w:cs="Times New Roman"/>
          <w:b/>
          <w:i/>
          <w:sz w:val="24"/>
          <w:szCs w:val="24"/>
        </w:rPr>
        <w:t>Abir</w:t>
      </w:r>
      <w:proofErr w:type="spellEnd"/>
      <w:r w:rsidRPr="00E96A50">
        <w:rPr>
          <w:rFonts w:ascii="Times New Roman" w:hAnsi="Times New Roman" w:cs="Times New Roman"/>
          <w:b/>
          <w:i/>
          <w:sz w:val="24"/>
          <w:szCs w:val="24"/>
        </w:rPr>
        <w:t xml:space="preserve"> Ben Slimane </w:t>
      </w:r>
      <w:r w:rsidRPr="00E96A50">
        <w:rPr>
          <w:rFonts w:ascii="Times New Roman" w:hAnsi="Times New Roman" w:cs="Times New Roman"/>
          <w:b/>
          <w:i/>
          <w:sz w:val="24"/>
          <w:szCs w:val="24"/>
          <w:vertAlign w:val="superscript"/>
        </w:rPr>
        <w:t>a</w:t>
      </w:r>
      <w:r w:rsidR="00E96A50">
        <w:rPr>
          <w:rFonts w:ascii="Times New Roman" w:hAnsi="Times New Roman" w:cs="Times New Roman"/>
          <w:b/>
          <w:i/>
          <w:sz w:val="24"/>
          <w:szCs w:val="24"/>
        </w:rPr>
        <w:t xml:space="preserve">, </w:t>
      </w:r>
      <w:proofErr w:type="spellStart"/>
      <w:r w:rsidR="00E96A50">
        <w:rPr>
          <w:rFonts w:ascii="Times New Roman" w:hAnsi="Times New Roman" w:cs="Times New Roman"/>
          <w:b/>
          <w:i/>
          <w:sz w:val="24"/>
          <w:szCs w:val="24"/>
        </w:rPr>
        <w:t>Slah</w:t>
      </w:r>
      <w:proofErr w:type="spellEnd"/>
      <w:r w:rsidRPr="00E96A50">
        <w:rPr>
          <w:rFonts w:ascii="Times New Roman" w:hAnsi="Times New Roman" w:cs="Times New Roman"/>
          <w:b/>
          <w:i/>
          <w:sz w:val="24"/>
          <w:szCs w:val="24"/>
        </w:rPr>
        <w:t xml:space="preserve"> </w:t>
      </w:r>
      <w:proofErr w:type="spellStart"/>
      <w:r w:rsidRPr="00E96A50">
        <w:rPr>
          <w:rFonts w:ascii="Times New Roman" w:hAnsi="Times New Roman" w:cs="Times New Roman"/>
          <w:b/>
          <w:i/>
          <w:sz w:val="24"/>
          <w:szCs w:val="24"/>
        </w:rPr>
        <w:t>Hajjej</w:t>
      </w:r>
      <w:proofErr w:type="spellEnd"/>
      <w:r w:rsidRPr="00E96A50">
        <w:rPr>
          <w:rFonts w:ascii="Times New Roman" w:hAnsi="Times New Roman" w:cs="Times New Roman"/>
          <w:b/>
          <w:i/>
          <w:sz w:val="24"/>
          <w:szCs w:val="24"/>
        </w:rPr>
        <w:t xml:space="preserve"> </w:t>
      </w:r>
      <w:r w:rsidRPr="00E96A50">
        <w:rPr>
          <w:rFonts w:ascii="Times New Roman" w:hAnsi="Times New Roman" w:cs="Times New Roman"/>
          <w:b/>
          <w:i/>
          <w:sz w:val="24"/>
          <w:szCs w:val="24"/>
          <w:vertAlign w:val="superscript"/>
        </w:rPr>
        <w:t>b</w:t>
      </w:r>
      <w:r w:rsidRPr="00E96A50">
        <w:rPr>
          <w:rFonts w:ascii="Times New Roman" w:hAnsi="Times New Roman" w:cs="Times New Roman"/>
          <w:b/>
          <w:i/>
          <w:sz w:val="24"/>
          <w:szCs w:val="24"/>
        </w:rPr>
        <w:t xml:space="preserve">, </w:t>
      </w:r>
      <w:proofErr w:type="spellStart"/>
      <w:r w:rsidRPr="00E96A50">
        <w:rPr>
          <w:rFonts w:ascii="Times New Roman" w:hAnsi="Times New Roman" w:cs="Times New Roman"/>
          <w:b/>
          <w:i/>
          <w:sz w:val="24"/>
          <w:szCs w:val="24"/>
        </w:rPr>
        <w:t>Sadok</w:t>
      </w:r>
      <w:proofErr w:type="spellEnd"/>
      <w:r w:rsidRPr="00E96A50">
        <w:rPr>
          <w:rFonts w:ascii="Times New Roman" w:hAnsi="Times New Roman" w:cs="Times New Roman"/>
          <w:b/>
          <w:i/>
          <w:sz w:val="24"/>
          <w:szCs w:val="24"/>
        </w:rPr>
        <w:t xml:space="preserve">  </w:t>
      </w:r>
      <w:proofErr w:type="spellStart"/>
      <w:r w:rsidRPr="00E96A50">
        <w:rPr>
          <w:rFonts w:ascii="Times New Roman" w:hAnsi="Times New Roman" w:cs="Times New Roman"/>
          <w:b/>
          <w:i/>
          <w:sz w:val="24"/>
          <w:szCs w:val="24"/>
        </w:rPr>
        <w:t>Agrébaoui</w:t>
      </w:r>
      <w:proofErr w:type="spellEnd"/>
      <w:r w:rsidRPr="00E96A50">
        <w:rPr>
          <w:rFonts w:ascii="Times New Roman" w:hAnsi="Times New Roman" w:cs="Times New Roman"/>
          <w:b/>
          <w:i/>
          <w:sz w:val="24"/>
          <w:szCs w:val="24"/>
        </w:rPr>
        <w:t xml:space="preserve"> </w:t>
      </w:r>
      <w:r w:rsidRPr="00E96A50">
        <w:rPr>
          <w:rFonts w:ascii="Times New Roman" w:hAnsi="Times New Roman" w:cs="Times New Roman"/>
          <w:b/>
          <w:i/>
          <w:sz w:val="24"/>
          <w:szCs w:val="24"/>
          <w:vertAlign w:val="superscript"/>
        </w:rPr>
        <w:t>c</w:t>
      </w:r>
      <w:r w:rsidRPr="00E96A50">
        <w:rPr>
          <w:rFonts w:ascii="Times New Roman" w:hAnsi="Times New Roman" w:cs="Times New Roman"/>
          <w:b/>
          <w:i/>
          <w:sz w:val="24"/>
          <w:szCs w:val="24"/>
        </w:rPr>
        <w:t xml:space="preserve"> et Youssef  </w:t>
      </w:r>
      <w:proofErr w:type="spellStart"/>
      <w:r w:rsidRPr="00E96A50">
        <w:rPr>
          <w:rFonts w:ascii="Times New Roman" w:hAnsi="Times New Roman" w:cs="Times New Roman"/>
          <w:b/>
          <w:i/>
          <w:sz w:val="24"/>
          <w:szCs w:val="24"/>
        </w:rPr>
        <w:t>Khélif</w:t>
      </w:r>
      <w:proofErr w:type="spellEnd"/>
      <w:r w:rsidRPr="00E96A50">
        <w:rPr>
          <w:rFonts w:ascii="Times New Roman" w:hAnsi="Times New Roman" w:cs="Times New Roman"/>
          <w:b/>
          <w:i/>
          <w:sz w:val="24"/>
          <w:szCs w:val="24"/>
        </w:rPr>
        <w:t xml:space="preserve">  </w:t>
      </w:r>
      <w:r w:rsidRPr="00E96A50">
        <w:rPr>
          <w:rFonts w:ascii="Times New Roman" w:hAnsi="Times New Roman" w:cs="Times New Roman"/>
          <w:b/>
          <w:i/>
          <w:sz w:val="24"/>
          <w:szCs w:val="24"/>
          <w:vertAlign w:val="superscript"/>
        </w:rPr>
        <w:t>b</w:t>
      </w:r>
    </w:p>
    <w:p w:rsidR="00443BE4" w:rsidRDefault="00443BE4">
      <w:pPr>
        <w:pStyle w:val="DefaultStyle"/>
        <w:spacing w:after="0" w:line="100" w:lineRule="atLeast"/>
        <w:jc w:val="center"/>
      </w:pPr>
    </w:p>
    <w:p w:rsidR="00443BE4" w:rsidRDefault="00205C20">
      <w:pPr>
        <w:pStyle w:val="DefaultStyle"/>
        <w:spacing w:after="0" w:line="100" w:lineRule="atLeast"/>
      </w:pPr>
      <w:proofErr w:type="gramStart"/>
      <w:r w:rsidRPr="00E96A50">
        <w:rPr>
          <w:rFonts w:ascii="Times New Roman" w:hAnsi="Times New Roman" w:cs="TimesNewRomanPSMT"/>
          <w:i/>
          <w:color w:val="000000"/>
          <w:sz w:val="20"/>
          <w:szCs w:val="20"/>
          <w:vertAlign w:val="superscript"/>
        </w:rPr>
        <w:t>a</w:t>
      </w:r>
      <w:proofErr w:type="gramEnd"/>
      <w:r w:rsidRPr="00E96A50">
        <w:rPr>
          <w:rFonts w:ascii="Times New Roman" w:hAnsi="Times New Roman" w:cs="TimesNewRomanPSMT"/>
          <w:i/>
          <w:color w:val="000000"/>
          <w:sz w:val="20"/>
          <w:szCs w:val="20"/>
          <w:vertAlign w:val="superscript"/>
        </w:rPr>
        <w:t xml:space="preserve"> </w:t>
      </w:r>
      <w:r w:rsidRPr="00E96A50">
        <w:rPr>
          <w:rFonts w:ascii="Times New Roman" w:hAnsi="Times New Roman" w:cs="TimesNewRomanPSMT"/>
          <w:i/>
          <w:color w:val="000000"/>
          <w:sz w:val="20"/>
          <w:szCs w:val="20"/>
        </w:rPr>
        <w:t xml:space="preserve"> </w:t>
      </w:r>
      <w:r w:rsidRPr="00E96A50">
        <w:rPr>
          <w:rFonts w:ascii="Times New Roman" w:hAnsi="Times New Roman" w:cs="Arial"/>
          <w:i/>
          <w:color w:val="000000"/>
          <w:sz w:val="20"/>
          <w:szCs w:val="20"/>
        </w:rPr>
        <w:t>Institut National de Recherche en Génie Rural, Eaux et Forêts (</w:t>
      </w:r>
      <w:r w:rsidRPr="00E96A50">
        <w:rPr>
          <w:rFonts w:ascii="Times New Roman" w:hAnsi="Times New Roman" w:cs="TimesNewRomanPSMT"/>
          <w:i/>
          <w:color w:val="000000"/>
          <w:sz w:val="20"/>
          <w:szCs w:val="20"/>
        </w:rPr>
        <w:t>INRGREF).</w:t>
      </w:r>
    </w:p>
    <w:p w:rsidR="00443BE4" w:rsidRDefault="00205C20">
      <w:pPr>
        <w:pStyle w:val="DefaultStyle"/>
        <w:spacing w:after="0" w:line="100" w:lineRule="atLeast"/>
      </w:pPr>
      <w:proofErr w:type="gramStart"/>
      <w:r w:rsidRPr="00E96A50">
        <w:rPr>
          <w:rFonts w:ascii="Times New Roman" w:hAnsi="Times New Roman" w:cs="TimesNewRomanPSMT"/>
          <w:i/>
          <w:color w:val="000000"/>
          <w:sz w:val="20"/>
          <w:szCs w:val="20"/>
          <w:vertAlign w:val="superscript"/>
        </w:rPr>
        <w:t>b</w:t>
      </w:r>
      <w:proofErr w:type="gramEnd"/>
      <w:r w:rsidRPr="00E96A50">
        <w:rPr>
          <w:rFonts w:ascii="Times New Roman" w:hAnsi="Times New Roman" w:cs="TimesNewRomanPSMT"/>
          <w:i/>
          <w:color w:val="000000"/>
          <w:sz w:val="20"/>
          <w:szCs w:val="20"/>
          <w:vertAlign w:val="superscript"/>
        </w:rPr>
        <w:t xml:space="preserve"> </w:t>
      </w:r>
      <w:r w:rsidRPr="00E96A50">
        <w:rPr>
          <w:rFonts w:ascii="Times New Roman" w:hAnsi="Times New Roman" w:cs="TimesNewRomanPSMT"/>
          <w:i/>
          <w:color w:val="000000"/>
          <w:sz w:val="20"/>
          <w:szCs w:val="20"/>
        </w:rPr>
        <w:t xml:space="preserve">CDRA </w:t>
      </w:r>
      <w:proofErr w:type="spellStart"/>
      <w:r w:rsidRPr="00E96A50">
        <w:rPr>
          <w:rFonts w:ascii="Times New Roman" w:hAnsi="Times New Roman" w:cs="TimesNewRomanPSMT"/>
          <w:i/>
          <w:color w:val="000000"/>
          <w:sz w:val="20"/>
          <w:szCs w:val="20"/>
        </w:rPr>
        <w:t>Kairoiuan</w:t>
      </w:r>
      <w:proofErr w:type="spellEnd"/>
    </w:p>
    <w:p w:rsidR="00443BE4" w:rsidRDefault="00205C20">
      <w:pPr>
        <w:pStyle w:val="DefaultStyle"/>
        <w:spacing w:after="0" w:line="100" w:lineRule="atLeast"/>
      </w:pPr>
      <w:proofErr w:type="spellStart"/>
      <w:r>
        <w:rPr>
          <w:rFonts w:ascii="Times New Roman" w:hAnsi="Times New Roman" w:cs="TimesNewRomanPSMT"/>
          <w:i/>
          <w:color w:val="000000"/>
          <w:sz w:val="20"/>
          <w:szCs w:val="20"/>
          <w:vertAlign w:val="superscript"/>
        </w:rPr>
        <w:t>c</w:t>
      </w:r>
      <w:r>
        <w:rPr>
          <w:rFonts w:ascii="Times New Roman" w:hAnsi="Times New Roman" w:cs="TimesNewRomanPSMT"/>
          <w:i/>
          <w:color w:val="000000"/>
          <w:sz w:val="20"/>
          <w:szCs w:val="20"/>
        </w:rPr>
        <w:t>ACTA</w:t>
      </w:r>
      <w:proofErr w:type="spellEnd"/>
      <w:r>
        <w:rPr>
          <w:rFonts w:ascii="Times New Roman" w:hAnsi="Times New Roman" w:cs="TimesNewRomanPSMT"/>
          <w:i/>
          <w:color w:val="000000"/>
          <w:sz w:val="20"/>
          <w:szCs w:val="20"/>
        </w:rPr>
        <w:t>/Direction des sols</w:t>
      </w:r>
    </w:p>
    <w:p w:rsidR="00443BE4" w:rsidRDefault="00443BE4">
      <w:pPr>
        <w:pStyle w:val="DefaultStyle"/>
        <w:spacing w:after="0" w:line="100" w:lineRule="atLeast"/>
      </w:pPr>
    </w:p>
    <w:p w:rsidR="00443BE4" w:rsidRPr="005E2AD6" w:rsidRDefault="00443BE4" w:rsidP="005E2AD6">
      <w:pPr>
        <w:pStyle w:val="DefaultStyle"/>
        <w:spacing w:after="0" w:line="360" w:lineRule="auto"/>
      </w:pPr>
    </w:p>
    <w:p w:rsidR="00CE5758" w:rsidRPr="00CE5758" w:rsidRDefault="00CE5758" w:rsidP="00CE5758">
      <w:pPr>
        <w:pStyle w:val="DefaultStyle"/>
        <w:spacing w:after="0" w:line="360" w:lineRule="auto"/>
        <w:jc w:val="both"/>
        <w:rPr>
          <w:rFonts w:ascii="Times New Roman" w:hAnsi="Times New Roman" w:cs="Times New Roman"/>
          <w:b/>
          <w:bCs/>
          <w:sz w:val="24"/>
          <w:szCs w:val="24"/>
        </w:rPr>
      </w:pPr>
      <w:r w:rsidRPr="00CE5758">
        <w:rPr>
          <w:rFonts w:ascii="Times New Roman" w:hAnsi="Times New Roman" w:cs="Times New Roman"/>
          <w:b/>
          <w:bCs/>
          <w:sz w:val="24"/>
          <w:szCs w:val="24"/>
        </w:rPr>
        <w:t>Résumé</w:t>
      </w:r>
    </w:p>
    <w:p w:rsidR="00443BE4" w:rsidRPr="00B2256B" w:rsidRDefault="00205C20" w:rsidP="00CE5758">
      <w:pPr>
        <w:pStyle w:val="DefaultStyle"/>
        <w:spacing w:after="0" w:line="360" w:lineRule="auto"/>
        <w:jc w:val="both"/>
        <w:rPr>
          <w:rFonts w:ascii="Times New Roman" w:hAnsi="Times New Roman" w:cs="Times New Roman"/>
        </w:rPr>
      </w:pPr>
      <w:r w:rsidRPr="005E2AD6">
        <w:rPr>
          <w:rFonts w:ascii="Times New Roman" w:hAnsi="Times New Roman" w:cs="Times New Roman"/>
          <w:sz w:val="24"/>
          <w:szCs w:val="24"/>
        </w:rPr>
        <w:t xml:space="preserve">En Tunisie, l’érosion hydrique des sols touche </w:t>
      </w:r>
      <w:r w:rsidR="00E96A50" w:rsidRPr="005E2AD6">
        <w:rPr>
          <w:rFonts w:ascii="Times New Roman" w:hAnsi="Times New Roman" w:cs="Times New Roman"/>
          <w:sz w:val="24"/>
          <w:szCs w:val="24"/>
        </w:rPr>
        <w:t>prés</w:t>
      </w:r>
      <w:r w:rsidRPr="005E2AD6">
        <w:rPr>
          <w:rFonts w:ascii="Times New Roman" w:hAnsi="Times New Roman" w:cs="Times New Roman"/>
          <w:sz w:val="24"/>
          <w:szCs w:val="24"/>
        </w:rPr>
        <w:t xml:space="preserve"> de 3 millions d’hectares des sols agricoles du pays, soit plus de la moitié de la surface agricole utile, et constitue ainsi le premier facteur de dégradation des sols. Les zones arides et semi-arides sont particulièrement exposées à l’érosion hydrique du fait de leurs caractéristiques hydro-</w:t>
      </w:r>
      <w:proofErr w:type="spellStart"/>
      <w:r w:rsidRPr="005E2AD6">
        <w:rPr>
          <w:rFonts w:ascii="Times New Roman" w:hAnsi="Times New Roman" w:cs="Times New Roman"/>
          <w:sz w:val="24"/>
          <w:szCs w:val="24"/>
        </w:rPr>
        <w:t>pédo</w:t>
      </w:r>
      <w:proofErr w:type="spellEnd"/>
      <w:r w:rsidRPr="005E2AD6">
        <w:rPr>
          <w:rFonts w:ascii="Times New Roman" w:hAnsi="Times New Roman" w:cs="Times New Roman"/>
          <w:sz w:val="24"/>
          <w:szCs w:val="24"/>
        </w:rPr>
        <w:t xml:space="preserve">-climatiques favorables à la dégradation des potentialités des sols. Notre étude, réalisée  dans le bassin versant d’oued </w:t>
      </w:r>
      <w:proofErr w:type="spellStart"/>
      <w:r w:rsidRPr="005E2AD6">
        <w:rPr>
          <w:rFonts w:ascii="Times New Roman" w:hAnsi="Times New Roman" w:cs="Times New Roman"/>
          <w:sz w:val="24"/>
          <w:szCs w:val="24"/>
        </w:rPr>
        <w:t>Maiz</w:t>
      </w:r>
      <w:proofErr w:type="spellEnd"/>
      <w:r w:rsidRPr="005E2AD6">
        <w:rPr>
          <w:rFonts w:ascii="Times New Roman" w:hAnsi="Times New Roman" w:cs="Times New Roman"/>
          <w:sz w:val="24"/>
          <w:szCs w:val="24"/>
        </w:rPr>
        <w:t xml:space="preserve"> (S=1300 ha, Kairouan), vise à analyser les principaux facteurs contrôlant l’érosion hydrique, en particulier les propriétés pédologiques des sols afin de délimiter les zones à risques d’érosion hydrique et envisager les aménagements adéquats pour lutter contre ce fléau. La description des profils pédologiques, ainsi les mesures in situ et de laboratoires des propriétés des sols nous ont permis de déterminer la carte d’</w:t>
      </w:r>
      <w:proofErr w:type="spellStart"/>
      <w:r w:rsidRPr="005E2AD6">
        <w:rPr>
          <w:rFonts w:ascii="Times New Roman" w:hAnsi="Times New Roman" w:cs="Times New Roman"/>
          <w:sz w:val="24"/>
          <w:szCs w:val="24"/>
        </w:rPr>
        <w:t>érodabilité</w:t>
      </w:r>
      <w:proofErr w:type="spellEnd"/>
      <w:r w:rsidRPr="005E2AD6">
        <w:rPr>
          <w:rFonts w:ascii="Times New Roman" w:hAnsi="Times New Roman" w:cs="Times New Roman"/>
          <w:sz w:val="24"/>
          <w:szCs w:val="24"/>
        </w:rPr>
        <w:t>. Cette dernière est caractérisée par des degrés majoritairement élevés à très élevés qui résulte d'une dominance des formations géologiques meubles (60% de S). L'occupation des sols est déficitaire et mal adaptée aux conditions du milieu avec plus de 58% de parcours dégradés, associés à des pentes élevées sur plus que 50% du bassin versant et enfin un aménagement des sols insuffisant et inadéquat pour réduire les risques de l'érosion hydrique.</w:t>
      </w:r>
      <w:r w:rsidR="005E2AD6" w:rsidRPr="005E2AD6">
        <w:rPr>
          <w:rFonts w:ascii="Times New Roman" w:hAnsi="Times New Roman" w:cs="Times New Roman"/>
        </w:rPr>
        <w:t xml:space="preserve"> </w:t>
      </w:r>
      <w:r w:rsidRPr="005E2AD6">
        <w:rPr>
          <w:rFonts w:ascii="Times New Roman" w:hAnsi="Times New Roman" w:cs="Times New Roman"/>
          <w:sz w:val="24"/>
          <w:szCs w:val="24"/>
        </w:rPr>
        <w:t>Les sols de la zone d'étude se caractérisent ainsi par un état éro</w:t>
      </w:r>
      <w:r w:rsidR="00B2256B">
        <w:rPr>
          <w:rFonts w:ascii="Times New Roman" w:hAnsi="Times New Roman" w:cs="Times New Roman"/>
          <w:sz w:val="24"/>
          <w:szCs w:val="24"/>
        </w:rPr>
        <w:t>sif inquiétant avec différentes</w:t>
      </w:r>
      <w:r w:rsidRPr="005E2AD6">
        <w:rPr>
          <w:rFonts w:ascii="Times New Roman" w:hAnsi="Times New Roman" w:cs="Times New Roman"/>
          <w:sz w:val="24"/>
          <w:szCs w:val="24"/>
        </w:rPr>
        <w:t xml:space="preserve"> formes d’érosion hydrique, qui se manifeste principalement par une mise à nu de la roche-mère sur des superficies très importantes, ainsi qu</w:t>
      </w:r>
      <w:r w:rsidR="00CE5758">
        <w:rPr>
          <w:rFonts w:ascii="Times New Roman" w:hAnsi="Times New Roman" w:cs="Times New Roman"/>
          <w:sz w:val="24"/>
          <w:szCs w:val="24"/>
        </w:rPr>
        <w:t xml:space="preserve">’un </w:t>
      </w:r>
      <w:r w:rsidRPr="005E2AD6">
        <w:rPr>
          <w:rFonts w:ascii="Times New Roman" w:hAnsi="Times New Roman" w:cs="Times New Roman"/>
          <w:sz w:val="24"/>
          <w:szCs w:val="24"/>
        </w:rPr>
        <w:t xml:space="preserve">envasement de </w:t>
      </w:r>
      <w:r w:rsidR="00953C33" w:rsidRPr="005E2AD6">
        <w:rPr>
          <w:rFonts w:ascii="Times New Roman" w:hAnsi="Times New Roman" w:cs="Times New Roman"/>
          <w:sz w:val="24"/>
          <w:szCs w:val="24"/>
        </w:rPr>
        <w:t>près</w:t>
      </w:r>
      <w:r w:rsidRPr="005E2AD6">
        <w:rPr>
          <w:rFonts w:ascii="Times New Roman" w:hAnsi="Times New Roman" w:cs="Times New Roman"/>
          <w:sz w:val="24"/>
          <w:szCs w:val="24"/>
        </w:rPr>
        <w:t xml:space="preserve"> de 50% </w:t>
      </w:r>
      <w:r w:rsidR="005E2AD6" w:rsidRPr="005E2AD6">
        <w:rPr>
          <w:rFonts w:ascii="Times New Roman" w:hAnsi="Times New Roman" w:cs="Times New Roman"/>
          <w:sz w:val="24"/>
          <w:szCs w:val="24"/>
        </w:rPr>
        <w:t xml:space="preserve">(Avril 1995) </w:t>
      </w:r>
      <w:r w:rsidRPr="005E2AD6">
        <w:rPr>
          <w:rFonts w:ascii="Times New Roman" w:hAnsi="Times New Roman" w:cs="Times New Roman"/>
          <w:sz w:val="24"/>
          <w:szCs w:val="24"/>
        </w:rPr>
        <w:t>de la capacité initiale du lac collinaire préexistant sur le bassin versant</w:t>
      </w:r>
      <w:r w:rsidR="005E2AD6" w:rsidRPr="005E2AD6">
        <w:rPr>
          <w:rFonts w:ascii="Times New Roman" w:hAnsi="Times New Roman" w:cs="Times New Roman"/>
          <w:sz w:val="24"/>
          <w:szCs w:val="24"/>
        </w:rPr>
        <w:t>.</w:t>
      </w:r>
      <w:r w:rsidR="00B2256B">
        <w:rPr>
          <w:rFonts w:ascii="Times New Roman" w:hAnsi="Times New Roman" w:cs="Times New Roman"/>
        </w:rPr>
        <w:t xml:space="preserve"> </w:t>
      </w:r>
      <w:r w:rsidRPr="005E2AD6">
        <w:rPr>
          <w:rFonts w:ascii="Times New Roman" w:hAnsi="Times New Roman" w:cs="Times New Roman"/>
          <w:sz w:val="24"/>
          <w:szCs w:val="24"/>
        </w:rPr>
        <w:t>En tenant compte de l’étude péd</w:t>
      </w:r>
      <w:r w:rsidR="00497791">
        <w:rPr>
          <w:rFonts w:ascii="Times New Roman" w:hAnsi="Times New Roman" w:cs="Times New Roman"/>
          <w:sz w:val="24"/>
          <w:szCs w:val="24"/>
        </w:rPr>
        <w:t>ologique</w:t>
      </w:r>
      <w:r w:rsidR="005E2AD6" w:rsidRPr="005E2AD6">
        <w:rPr>
          <w:rFonts w:ascii="Times New Roman" w:hAnsi="Times New Roman" w:cs="Times New Roman"/>
          <w:sz w:val="24"/>
          <w:szCs w:val="24"/>
        </w:rPr>
        <w:t>,</w:t>
      </w:r>
      <w:r w:rsidRPr="005E2AD6">
        <w:rPr>
          <w:rFonts w:ascii="Times New Roman" w:hAnsi="Times New Roman" w:cs="Times New Roman"/>
          <w:sz w:val="24"/>
          <w:szCs w:val="24"/>
        </w:rPr>
        <w:t xml:space="preserve"> de la cartographie des différents facteurs </w:t>
      </w:r>
      <w:r w:rsidR="000861B7">
        <w:rPr>
          <w:rFonts w:ascii="Times New Roman" w:hAnsi="Times New Roman" w:cs="Times New Roman"/>
          <w:sz w:val="24"/>
          <w:szCs w:val="24"/>
        </w:rPr>
        <w:t xml:space="preserve">d’érosion </w:t>
      </w:r>
      <w:bookmarkStart w:id="0" w:name="_GoBack"/>
      <w:bookmarkEnd w:id="0"/>
      <w:r w:rsidRPr="005E2AD6">
        <w:rPr>
          <w:rFonts w:ascii="Times New Roman" w:hAnsi="Times New Roman" w:cs="Times New Roman"/>
          <w:sz w:val="24"/>
          <w:szCs w:val="24"/>
        </w:rPr>
        <w:t xml:space="preserve">et la qualité </w:t>
      </w:r>
      <w:r w:rsidR="00CE5758">
        <w:rPr>
          <w:rFonts w:ascii="Times New Roman" w:hAnsi="Times New Roman" w:cs="Times New Roman"/>
          <w:sz w:val="24"/>
          <w:szCs w:val="24"/>
        </w:rPr>
        <w:t xml:space="preserve">des eaux </w:t>
      </w:r>
      <w:r w:rsidRPr="005E2AD6">
        <w:rPr>
          <w:rFonts w:ascii="Times New Roman" w:hAnsi="Times New Roman" w:cs="Times New Roman"/>
          <w:sz w:val="24"/>
          <w:szCs w:val="24"/>
        </w:rPr>
        <w:t>d</w:t>
      </w:r>
      <w:r w:rsidR="00CE5758">
        <w:rPr>
          <w:rFonts w:ascii="Times New Roman" w:hAnsi="Times New Roman" w:cs="Times New Roman"/>
          <w:sz w:val="24"/>
          <w:szCs w:val="24"/>
        </w:rPr>
        <w:t xml:space="preserve">u </w:t>
      </w:r>
      <w:r w:rsidRPr="005E2AD6">
        <w:rPr>
          <w:rFonts w:ascii="Times New Roman" w:hAnsi="Times New Roman" w:cs="Times New Roman"/>
          <w:sz w:val="24"/>
          <w:szCs w:val="24"/>
        </w:rPr>
        <w:t xml:space="preserve">lac collinaire nous avons pu </w:t>
      </w:r>
      <w:r w:rsidR="005E2AD6" w:rsidRPr="005E2AD6">
        <w:rPr>
          <w:rFonts w:ascii="Times New Roman" w:hAnsi="Times New Roman" w:cs="Times New Roman"/>
          <w:sz w:val="24"/>
          <w:szCs w:val="24"/>
        </w:rPr>
        <w:t>proposer</w:t>
      </w:r>
      <w:r w:rsidRPr="005E2AD6">
        <w:rPr>
          <w:rFonts w:ascii="Times New Roman" w:hAnsi="Times New Roman" w:cs="Times New Roman"/>
          <w:sz w:val="24"/>
          <w:szCs w:val="24"/>
        </w:rPr>
        <w:t xml:space="preserve"> une carte d’aptitude culturale des sols et des</w:t>
      </w:r>
      <w:r w:rsidR="00497791">
        <w:rPr>
          <w:rFonts w:ascii="Times New Roman" w:hAnsi="Times New Roman" w:cs="Times New Roman"/>
          <w:sz w:val="24"/>
          <w:szCs w:val="24"/>
        </w:rPr>
        <w:t xml:space="preserve"> aménagements des terres en pente</w:t>
      </w:r>
      <w:r w:rsidRPr="005E2AD6">
        <w:rPr>
          <w:rFonts w:ascii="Times New Roman" w:hAnsi="Times New Roman" w:cs="Times New Roman"/>
          <w:sz w:val="24"/>
          <w:szCs w:val="24"/>
        </w:rPr>
        <w:t xml:space="preserve">. </w:t>
      </w:r>
    </w:p>
    <w:sectPr w:rsidR="00443BE4" w:rsidRPr="00B2256B" w:rsidSect="00443BE4">
      <w:pgSz w:w="11906" w:h="16838"/>
      <w:pgMar w:top="1417" w:right="1417" w:bottom="1417"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443BE4"/>
    <w:rsid w:val="000861B7"/>
    <w:rsid w:val="00205C20"/>
    <w:rsid w:val="00443BE4"/>
    <w:rsid w:val="00497791"/>
    <w:rsid w:val="00516704"/>
    <w:rsid w:val="00534B7D"/>
    <w:rsid w:val="005E2AD6"/>
    <w:rsid w:val="00751428"/>
    <w:rsid w:val="007B3480"/>
    <w:rsid w:val="00953C33"/>
    <w:rsid w:val="00A14632"/>
    <w:rsid w:val="00B2256B"/>
    <w:rsid w:val="00B33769"/>
    <w:rsid w:val="00CE5758"/>
    <w:rsid w:val="00E96A50"/>
    <w:rsid w:val="00F460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Style">
    <w:name w:val="Default Style"/>
    <w:rsid w:val="00443BE4"/>
    <w:pPr>
      <w:suppressAutoHyphens/>
    </w:pPr>
    <w:rPr>
      <w:rFonts w:ascii="Calibri" w:eastAsia="Arial Unicode MS" w:hAnsi="Calibri"/>
    </w:rPr>
  </w:style>
  <w:style w:type="character" w:customStyle="1" w:styleId="TextedebullesCar">
    <w:name w:val="Texte de bulles Car"/>
    <w:basedOn w:val="Policepardfaut"/>
    <w:rsid w:val="00443BE4"/>
    <w:rPr>
      <w:rFonts w:ascii="Tahoma" w:hAnsi="Tahoma" w:cs="Tahoma"/>
      <w:sz w:val="16"/>
      <w:szCs w:val="16"/>
    </w:rPr>
  </w:style>
  <w:style w:type="paragraph" w:customStyle="1" w:styleId="Heading">
    <w:name w:val="Heading"/>
    <w:basedOn w:val="DefaultStyle"/>
    <w:next w:val="TextBody"/>
    <w:rsid w:val="00443BE4"/>
    <w:pPr>
      <w:keepNext/>
      <w:spacing w:before="240" w:after="120"/>
    </w:pPr>
    <w:rPr>
      <w:rFonts w:ascii="Arial" w:hAnsi="Arial" w:cs="Arial Unicode MS"/>
      <w:sz w:val="28"/>
      <w:szCs w:val="28"/>
    </w:rPr>
  </w:style>
  <w:style w:type="paragraph" w:customStyle="1" w:styleId="TextBody">
    <w:name w:val="Text Body"/>
    <w:basedOn w:val="DefaultStyle"/>
    <w:rsid w:val="00443BE4"/>
    <w:pPr>
      <w:spacing w:after="120"/>
    </w:pPr>
  </w:style>
  <w:style w:type="paragraph" w:styleId="Liste">
    <w:name w:val="List"/>
    <w:basedOn w:val="TextBody"/>
    <w:rsid w:val="00443BE4"/>
  </w:style>
  <w:style w:type="paragraph" w:customStyle="1" w:styleId="Lgende1">
    <w:name w:val="Légende1"/>
    <w:basedOn w:val="DefaultStyle"/>
    <w:rsid w:val="00443BE4"/>
    <w:pPr>
      <w:suppressLineNumbers/>
      <w:spacing w:before="120" w:after="120"/>
    </w:pPr>
    <w:rPr>
      <w:i/>
      <w:iCs/>
      <w:sz w:val="24"/>
      <w:szCs w:val="24"/>
    </w:rPr>
  </w:style>
  <w:style w:type="paragraph" w:customStyle="1" w:styleId="Index">
    <w:name w:val="Index"/>
    <w:basedOn w:val="DefaultStyle"/>
    <w:rsid w:val="00443BE4"/>
    <w:pPr>
      <w:suppressLineNumbers/>
    </w:pPr>
  </w:style>
  <w:style w:type="paragraph" w:styleId="Textedebulles">
    <w:name w:val="Balloon Text"/>
    <w:basedOn w:val="DefaultStyle"/>
    <w:rsid w:val="00443BE4"/>
    <w:pPr>
      <w:spacing w:after="0" w:line="100" w:lineRule="atLeast"/>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Style">
    <w:name w:val="Default Style"/>
    <w:rsid w:val="00443BE4"/>
    <w:pPr>
      <w:suppressAutoHyphens/>
    </w:pPr>
    <w:rPr>
      <w:rFonts w:ascii="Calibri" w:eastAsia="Arial Unicode MS" w:hAnsi="Calibri"/>
    </w:rPr>
  </w:style>
  <w:style w:type="character" w:customStyle="1" w:styleId="TextedebullesCar">
    <w:name w:val="Texte de bulles Car"/>
    <w:basedOn w:val="Policepardfaut"/>
    <w:rsid w:val="00443BE4"/>
    <w:rPr>
      <w:rFonts w:ascii="Tahoma" w:hAnsi="Tahoma" w:cs="Tahoma"/>
      <w:sz w:val="16"/>
      <w:szCs w:val="16"/>
    </w:rPr>
  </w:style>
  <w:style w:type="paragraph" w:customStyle="1" w:styleId="Heading">
    <w:name w:val="Heading"/>
    <w:basedOn w:val="DefaultStyle"/>
    <w:next w:val="TextBody"/>
    <w:rsid w:val="00443BE4"/>
    <w:pPr>
      <w:keepNext/>
      <w:spacing w:before="240" w:after="120"/>
    </w:pPr>
    <w:rPr>
      <w:rFonts w:ascii="Arial" w:hAnsi="Arial" w:cs="Arial Unicode MS"/>
      <w:sz w:val="28"/>
      <w:szCs w:val="28"/>
    </w:rPr>
  </w:style>
  <w:style w:type="paragraph" w:customStyle="1" w:styleId="TextBody">
    <w:name w:val="Text Body"/>
    <w:basedOn w:val="DefaultStyle"/>
    <w:rsid w:val="00443BE4"/>
    <w:pPr>
      <w:spacing w:after="120"/>
    </w:pPr>
  </w:style>
  <w:style w:type="paragraph" w:styleId="Liste">
    <w:name w:val="List"/>
    <w:basedOn w:val="TextBody"/>
    <w:rsid w:val="00443BE4"/>
  </w:style>
  <w:style w:type="paragraph" w:customStyle="1" w:styleId="Lgende1">
    <w:name w:val="Légende1"/>
    <w:basedOn w:val="DefaultStyle"/>
    <w:rsid w:val="00443BE4"/>
    <w:pPr>
      <w:suppressLineNumbers/>
      <w:spacing w:before="120" w:after="120"/>
    </w:pPr>
    <w:rPr>
      <w:i/>
      <w:iCs/>
      <w:sz w:val="24"/>
      <w:szCs w:val="24"/>
    </w:rPr>
  </w:style>
  <w:style w:type="paragraph" w:customStyle="1" w:styleId="Index">
    <w:name w:val="Index"/>
    <w:basedOn w:val="DefaultStyle"/>
    <w:rsid w:val="00443BE4"/>
    <w:pPr>
      <w:suppressLineNumbers/>
    </w:pPr>
  </w:style>
  <w:style w:type="paragraph" w:styleId="Textedebulles">
    <w:name w:val="Balloon Text"/>
    <w:basedOn w:val="DefaultStyle"/>
    <w:rsid w:val="00443BE4"/>
    <w:pPr>
      <w:spacing w:after="0" w:line="100" w:lineRule="atLeas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IRD Montpellier</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Chercheur</cp:lastModifiedBy>
  <cp:revision>2</cp:revision>
  <dcterms:created xsi:type="dcterms:W3CDTF">2015-04-01T17:02:00Z</dcterms:created>
  <dcterms:modified xsi:type="dcterms:W3CDTF">2015-04-01T17:02:00Z</dcterms:modified>
</cp:coreProperties>
</file>